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8A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6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关于广东长正建设有限公司诉珠海建威丰盛建材有限公司案专项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法律服务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需求书</w:t>
      </w:r>
    </w:p>
    <w:p w14:paraId="643DC348"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采购项目名称</w:t>
      </w:r>
    </w:p>
    <w:p w14:paraId="463C2E32">
      <w:pPr>
        <w:bidi w:val="0"/>
        <w:rPr>
          <w:rFonts w:hint="default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关于广东长正建设有限公司诉</w:t>
      </w:r>
      <w:r>
        <w:rPr>
          <w:rFonts w:hint="eastAsia"/>
        </w:rPr>
        <w:t>珠海建威丰盛建材有限公司</w:t>
      </w:r>
      <w:r>
        <w:rPr>
          <w:rFonts w:hint="eastAsia"/>
          <w:lang w:val="en-US" w:eastAsia="zh-CN"/>
        </w:rPr>
        <w:t>案专项法律服务</w:t>
      </w:r>
      <w:r>
        <w:rPr>
          <w:rFonts w:hint="default"/>
          <w:lang w:val="en-US" w:eastAsia="zh-CN"/>
        </w:rPr>
        <w:t>采购</w:t>
      </w:r>
      <w:r>
        <w:rPr>
          <w:rFonts w:hint="eastAsia"/>
          <w:lang w:val="en-US" w:eastAsia="zh-CN"/>
        </w:rPr>
        <w:t>。</w:t>
      </w:r>
    </w:p>
    <w:p w14:paraId="4E44FC50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项目概括</w:t>
      </w:r>
    </w:p>
    <w:p w14:paraId="5B43960E">
      <w:pPr>
        <w:bidi w:val="0"/>
      </w:pPr>
      <w:r>
        <w:rPr>
          <w:rFonts w:hint="eastAsia"/>
          <w:lang w:val="en-US" w:eastAsia="zh-CN"/>
        </w:rPr>
        <w:t>长正公司</w:t>
      </w:r>
      <w:r>
        <w:t>于2019年</w:t>
      </w:r>
      <w:r>
        <w:rPr>
          <w:rFonts w:hint="eastAsia"/>
          <w:lang w:val="en-US" w:eastAsia="zh-CN"/>
        </w:rPr>
        <w:t>9月20日</w:t>
      </w:r>
      <w:r>
        <w:t>与</w:t>
      </w:r>
      <w:r>
        <w:rPr>
          <w:rFonts w:hint="eastAsia"/>
        </w:rPr>
        <w:t>珠海建威丰盛建材有限公司</w:t>
      </w:r>
      <w:r>
        <w:rPr>
          <w:rFonts w:hint="eastAsia"/>
          <w:lang w:val="en-US" w:eastAsia="zh-CN"/>
        </w:rPr>
        <w:t>签订《兴业快线(北段)项目合并段南端隧道废弃物销售合同》（合同编号：GC1904003-销001）合同中约定履约保证金及预提货款，合同未约定逾期付款情况，合同约定</w:t>
      </w:r>
      <w:r>
        <w:rPr>
          <w:rFonts w:hint="eastAsia"/>
        </w:rPr>
        <w:t>如发生违约，违约方承担因违约所产生的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切经济损失。</w:t>
      </w:r>
    </w:p>
    <w:p w14:paraId="58692AE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2021年9月14日建威丰盛公司向长正公司发出《承诺函》，确认尚欠货款433.5万元(含资源税)尚未支付。承诺：一是在今年（即2021年）12月份前将所欠货款全部付清(10月、11月各支付100万，12月支付剩余所欠货款)；二是如在12月份未能全部付清货款，将按照</w:t>
      </w:r>
      <w:r>
        <w:rPr>
          <w:rFonts w:hint="eastAsia"/>
          <w:color w:val="auto"/>
          <w:lang w:val="en-US" w:eastAsia="zh-CN"/>
        </w:rPr>
        <w:t>银行相关利率</w:t>
      </w:r>
      <w:r>
        <w:rPr>
          <w:rFonts w:hint="eastAsia"/>
          <w:lang w:val="en-US" w:eastAsia="zh-CN"/>
        </w:rPr>
        <w:t>支付所欠货款金额利息。</w:t>
      </w:r>
    </w:p>
    <w:p w14:paraId="4290DDD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2024年5月6日，我司发出催款函，截至2024年5月6日，建威丰盛累计欠付逾期废弃物款金额2,562,975.76元，累计欠付逾期款计息金额为997,663.92元(月息1%,计息期:2021年7月1日-2024年5月6日)，欠付总金额为3,560,639.68元。</w:t>
      </w:r>
    </w:p>
    <w:p w14:paraId="0D2A94A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2024年6月11日，建威丰盛回函，将过程中代垫投标保证金50,000元，耕地税53,719.23元，履约保证金 2,000,000元冲抵货款，将尽快支付货款。</w:t>
      </w:r>
    </w:p>
    <w:p w14:paraId="4631F7C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2024年7月8日我司向建威丰盛发出律师函，催缴尚欠货款2,562,975.76元及相应欠款利息。</w:t>
      </w:r>
    </w:p>
    <w:p w14:paraId="6DF1F1E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2024年8月8日建威丰盛回函确认将履约保证金 2,000,000元冲抵货款后，剩余货款562,975.76元，将于2024年12月31日前支付完毕。</w:t>
      </w:r>
    </w:p>
    <w:p w14:paraId="13825BBF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截至2025年6月30日，建威丰盛尚欠货款459,256.53元及相应欠款利息。</w:t>
      </w:r>
    </w:p>
    <w:p w14:paraId="2FC019C9">
      <w:pPr>
        <w:bidi w:val="0"/>
      </w:pPr>
      <w:r>
        <w:rPr>
          <w:rFonts w:hint="eastAsia"/>
          <w:lang w:val="en-US" w:eastAsia="zh-CN"/>
        </w:rPr>
        <w:t>纠纷处理</w:t>
      </w:r>
      <w:r>
        <w:t>机构：</w:t>
      </w:r>
      <w:r>
        <w:rPr>
          <w:rFonts w:hint="eastAsia"/>
          <w:lang w:val="en-US" w:eastAsia="zh-CN"/>
        </w:rPr>
        <w:t>双方签订合同所在地法院</w:t>
      </w:r>
      <w:r>
        <w:t>。</w:t>
      </w:r>
    </w:p>
    <w:p w14:paraId="649596B7">
      <w:pPr>
        <w:bidi w:val="0"/>
        <w:rPr>
          <w:highlight w:val="none"/>
        </w:rPr>
      </w:pPr>
      <w:r>
        <w:rPr>
          <w:highlight w:val="none"/>
        </w:rPr>
        <w:t>标的金额：</w:t>
      </w:r>
    </w:p>
    <w:p w14:paraId="0FF2B328">
      <w:pPr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1、尚欠货款</w:t>
      </w:r>
      <w:r>
        <w:rPr>
          <w:highlight w:val="none"/>
        </w:rPr>
        <w:t>：人民币</w:t>
      </w:r>
      <w:r>
        <w:rPr>
          <w:rFonts w:hint="eastAsia"/>
          <w:highlight w:val="none"/>
          <w:lang w:val="en-US" w:eastAsia="zh-CN"/>
        </w:rPr>
        <w:t>459,256.53元</w:t>
      </w:r>
      <w:r>
        <w:rPr>
          <w:highlight w:val="none"/>
        </w:rPr>
        <w:t>；</w:t>
      </w:r>
    </w:p>
    <w:p w14:paraId="1256BBCC">
      <w:pPr>
        <w:bidi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2、利息</w:t>
      </w:r>
      <w:r>
        <w:rPr>
          <w:highlight w:val="none"/>
        </w:rPr>
        <w:t>：</w:t>
      </w:r>
      <w:r>
        <w:rPr>
          <w:rFonts w:hint="eastAsia"/>
          <w:color w:val="auto"/>
          <w:highlight w:val="none"/>
          <w:lang w:eastAsia="zh-CN"/>
        </w:rPr>
        <w:t>暂定332</w:t>
      </w:r>
      <w:r>
        <w:rPr>
          <w:rFonts w:hint="eastAsia"/>
          <w:color w:val="auto"/>
          <w:highlight w:val="none"/>
          <w:lang w:val="en-US" w:eastAsia="zh-CN"/>
        </w:rPr>
        <w:t>,</w:t>
      </w:r>
      <w:r>
        <w:rPr>
          <w:rFonts w:hint="eastAsia"/>
          <w:color w:val="auto"/>
          <w:highlight w:val="none"/>
          <w:lang w:eastAsia="zh-CN"/>
        </w:rPr>
        <w:t>670.50元（按月利1%，暂计息至2025.06.30）</w:t>
      </w:r>
    </w:p>
    <w:p w14:paraId="4FA6363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经多次催收无果，长正公司拟委托专业律师通过法律途径追偿欠款及利息，拟邀请律师事务所代理该事项。</w:t>
      </w:r>
    </w:p>
    <w:p w14:paraId="75468D5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三、服务</w:t>
      </w:r>
      <w:r>
        <w:rPr>
          <w:rFonts w:hint="eastAsia"/>
        </w:rPr>
        <w:t>事项内容</w:t>
      </w:r>
      <w:r>
        <w:rPr>
          <w:rFonts w:hint="eastAsia"/>
          <w:lang w:val="en-US" w:eastAsia="zh-CN"/>
        </w:rPr>
        <w:t>及要求（包括但不限于以下内容）</w:t>
      </w:r>
    </w:p>
    <w:p w14:paraId="0023F6C8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（一）服务内容</w:t>
      </w:r>
    </w:p>
    <w:p w14:paraId="68458DB6">
      <w:pPr>
        <w:bidi w:val="0"/>
        <w:rPr>
          <w:rFonts w:hint="default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</w:rPr>
        <w:t>审查合同、订单、送货单、验收记录、对账单、付款凭证等补强证据链</w:t>
      </w:r>
      <w:r>
        <w:rPr>
          <w:rFonts w:hint="eastAsia"/>
          <w:lang w:eastAsia="zh-CN"/>
        </w:rPr>
        <w:t>；</w:t>
      </w:r>
      <w:r>
        <w:rPr>
          <w:rFonts w:hint="default"/>
        </w:rPr>
        <w:t>分析债权有效性；</w:t>
      </w:r>
    </w:p>
    <w:p w14:paraId="5A02539B">
      <w:pPr>
        <w:bidi w:val="0"/>
      </w:pPr>
      <w:r>
        <w:rPr>
          <w:rFonts w:hint="eastAsia"/>
          <w:lang w:val="en-US" w:eastAsia="zh-CN"/>
        </w:rPr>
        <w:t>2、申请财产保全，处理保全担保事宜</w:t>
      </w:r>
      <w:r>
        <w:rPr>
          <w:rFonts w:hint="default"/>
        </w:rPr>
        <w:t>；</w:t>
      </w:r>
    </w:p>
    <w:p w14:paraId="423BC22C">
      <w:pPr>
        <w:bidi w:val="0"/>
        <w:rPr>
          <w:rFonts w:hint="eastAsia" w:ascii="仿宋" w:hAnsi="仿宋" w:eastAsia="仿宋" w:cs="仿宋"/>
          <w:highlight w:val="none"/>
          <w:lang w:val="en-US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制定诉讼方案、策略，并向采购人汇报；</w:t>
      </w:r>
      <w:r>
        <w:rPr>
          <w:rFonts w:hint="eastAsia" w:ascii="仿宋" w:hAnsi="仿宋" w:eastAsia="仿宋" w:cs="仿宋"/>
          <w:highlight w:val="none"/>
        </w:rPr>
        <w:t>准备诉讼材料，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起草起诉状，精准主张本金+利息+实现债权费用</w:t>
      </w:r>
      <w:r>
        <w:rPr>
          <w:rFonts w:hint="eastAsia" w:cs="仿宋"/>
          <w:color w:val="auto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计算利息，附详细计算表;整理证据清单，编制举证说明。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代理调解或和解</w:t>
      </w:r>
      <w:r>
        <w:rPr>
          <w:rFonts w:hint="eastAsia" w:cs="仿宋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仿宋" w:hAnsi="仿宋" w:eastAsia="仿宋" w:cs="仿宋"/>
          <w:color w:val="auto"/>
          <w:highlight w:val="none"/>
        </w:rPr>
        <w:t>出庭应诉，针对抗辩制定反驳策略</w:t>
      </w:r>
      <w:r>
        <w:rPr>
          <w:rFonts w:hint="eastAsia" w:cs="仿宋"/>
          <w:color w:val="auto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highlight w:val="none"/>
        </w:rPr>
        <w:t>申请司法鉴定、证人出庭等程序。代理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包括但不限于）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一审、二审、执行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highlight w:val="none"/>
        </w:rPr>
        <w:t>程序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直至债权完全实现</w:t>
      </w:r>
      <w:r>
        <w:rPr>
          <w:rFonts w:hint="eastAsia" w:ascii="仿宋" w:hAnsi="仿宋" w:eastAsia="仿宋" w:cs="仿宋"/>
          <w:highlight w:val="none"/>
          <w:lang w:val="en-US" w:eastAsia="zh-CN"/>
        </w:rPr>
        <w:t>。</w:t>
      </w:r>
    </w:p>
    <w:p w14:paraId="10F1464D">
      <w:pPr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4、</w:t>
      </w:r>
      <w:r>
        <w:rPr>
          <w:rFonts w:hint="default"/>
          <w:highlight w:val="none"/>
        </w:rPr>
        <w:t>主张以下权益：</w:t>
      </w:r>
    </w:p>
    <w:p w14:paraId="4186C7CE">
      <w:pPr>
        <w:bidi w:val="0"/>
        <w:rPr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①</w:t>
      </w:r>
      <w:r>
        <w:rPr>
          <w:rFonts w:hint="default"/>
          <w:highlight w:val="none"/>
        </w:rPr>
        <w:t>货款本金：￥</w:t>
      </w:r>
      <w:r>
        <w:rPr>
          <w:rFonts w:hint="eastAsia"/>
          <w:highlight w:val="none"/>
          <w:lang w:val="en-US" w:eastAsia="zh-CN"/>
        </w:rPr>
        <w:t>459,256.53元</w:t>
      </w:r>
    </w:p>
    <w:p w14:paraId="38B61F4C">
      <w:pPr>
        <w:bidi w:val="0"/>
        <w:rPr>
          <w:color w:val="FF0000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②</w:t>
      </w:r>
      <w:r>
        <w:rPr>
          <w:rFonts w:hint="default"/>
          <w:highlight w:val="none"/>
        </w:rPr>
        <w:t>逾期利息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color w:val="auto"/>
          <w:highlight w:val="none"/>
          <w:lang w:eastAsia="zh-CN"/>
        </w:rPr>
        <w:t>暂定￥332670.50元（按月利1%，暂计息至2025.06.30）</w:t>
      </w:r>
    </w:p>
    <w:p w14:paraId="7ACC08DF">
      <w:pPr>
        <w:bidi w:val="0"/>
        <w:rPr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③</w:t>
      </w:r>
      <w:r>
        <w:rPr>
          <w:rFonts w:hint="default"/>
          <w:highlight w:val="none"/>
        </w:rPr>
        <w:t>实现债权的合理费用（律师费、诉讼费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保全费</w:t>
      </w:r>
      <w:r>
        <w:rPr>
          <w:rFonts w:hint="default"/>
          <w:highlight w:val="none"/>
        </w:rPr>
        <w:t>等）；</w:t>
      </w:r>
    </w:p>
    <w:p w14:paraId="07AF2ACB">
      <w:pPr>
        <w:bidi w:val="0"/>
      </w:pPr>
      <w:r>
        <w:rPr>
          <w:rFonts w:hint="eastAsia"/>
          <w:lang w:val="en-US" w:eastAsia="zh-CN"/>
        </w:rPr>
        <w:t>5、</w:t>
      </w:r>
      <w:r>
        <w:rPr>
          <w:rFonts w:hint="default"/>
        </w:rPr>
        <w:t>财产线索查控及强制执行跟进。</w:t>
      </w:r>
    </w:p>
    <w:p w14:paraId="276EBECB">
      <w:pPr>
        <w:pStyle w:val="3"/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（二）服务要求</w:t>
      </w:r>
    </w:p>
    <w:p w14:paraId="3934C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1.律师团队要求</w:t>
      </w:r>
    </w:p>
    <w:p w14:paraId="234E5968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（1）有实力专业律师团队；</w:t>
      </w:r>
    </w:p>
    <w:p w14:paraId="1011FB8B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（2）执业律师5名以上，团队有十年以上法律从业经验人员；</w:t>
      </w:r>
    </w:p>
    <w:p w14:paraId="55042A4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（3）有丰富的类似案件诉讼经验；</w:t>
      </w:r>
    </w:p>
    <w:p w14:paraId="33EB9BB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（4）须配备至少2名专业律师全程跟进，确保服务连续高效，且能按需更换人员。</w:t>
      </w:r>
    </w:p>
    <w:p w14:paraId="07CBBAA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2.执业律师需具备良好的职业道德和职业操守，严格保守采购人的商业秘密，确保服务过程中的信息安全。</w:t>
      </w:r>
    </w:p>
    <w:p w14:paraId="6FE47BD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3.律师团队需定期向采购人汇报案件进展，及时沟通案件中的重要事项，确保采购人对案件有全面的了解。</w:t>
      </w:r>
    </w:p>
    <w:p w14:paraId="3D741FA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4.在服务过程中，律师团队应积极响应采购人的需求，提供高效、专业的法律服务，确保采购人的合法权益得到有效维护。</w:t>
      </w:r>
    </w:p>
    <w:p w14:paraId="1D94DAAE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四、服务期限</w:t>
      </w:r>
    </w:p>
    <w:p w14:paraId="27CDD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委托代理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生效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至长正公司债权完全实现</w:t>
      </w:r>
      <w:r>
        <w:rPr>
          <w:rFonts w:hint="eastAsia"/>
          <w:lang w:val="en-US" w:eastAsia="zh-CN"/>
        </w:rPr>
        <w:t>止。</w:t>
      </w:r>
    </w:p>
    <w:p w14:paraId="17E29054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五、服务结算与支付</w:t>
      </w:r>
    </w:p>
    <w:p w14:paraId="4E1307B9">
      <w:pPr>
        <w:tabs>
          <w:tab w:val="left" w:pos="700"/>
        </w:tabs>
        <w:ind w:firstLine="640" w:firstLineChars="200"/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（一）计费模式</w:t>
      </w:r>
    </w:p>
    <w:p w14:paraId="297557FC">
      <w:pPr>
        <w:tabs>
          <w:tab w:val="left" w:pos="700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本次服务费采取半风险模式计费方法，即法律服务总代理费由【基础费用+风险代理费用】组成，风险代理费用根据后续实际执行回款金额按风险代理费率计取。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目前案件总标的金额暂定为791,927.03元，具体以实际委托后尚未回款金额为实际标的金额，即如在委托前有回款则此部分不计入风险代理费用计算基数内。</w:t>
      </w:r>
    </w:p>
    <w:p w14:paraId="1BD4D1F6">
      <w:pPr>
        <w:pStyle w:val="5"/>
        <w:numPr>
          <w:ilvl w:val="0"/>
          <w:numId w:val="2"/>
        </w:numP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结算方式</w:t>
      </w:r>
    </w:p>
    <w:p w14:paraId="2D21B5A4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1.基础费用：在代理合同签订后的10个工作日内向法律服务单位支付代理费</w:t>
      </w:r>
      <w:r>
        <w:rPr>
          <w:rFonts w:hint="eastAsia" w:cs="仿宋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基础</w:t>
      </w:r>
      <w:r>
        <w:rPr>
          <w:rFonts w:hint="eastAsia" w:cs="仿宋"/>
          <w:kern w:val="2"/>
          <w:sz w:val="32"/>
          <w:szCs w:val="32"/>
          <w:highlight w:val="none"/>
          <w:lang w:val="en-US" w:eastAsia="zh-CN" w:bidi="ar-SA"/>
        </w:rPr>
        <w:t>费用部分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08C9827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2.风险代理费用：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在我公司自实际收到追回款项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（以银行回单为准）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后的10个工作日内支付；如案件双方在开庭前和解或调解的，则只需支付基础费用，无需支付风险部分律师费用。</w:t>
      </w:r>
      <w:bookmarkStart w:id="1" w:name="_GoBack"/>
      <w:bookmarkEnd w:id="1"/>
    </w:p>
    <w:bookmarkEnd w:id="0"/>
    <w:p w14:paraId="7B97FE8A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（三）支付方式</w:t>
      </w:r>
    </w:p>
    <w:p w14:paraId="4A9AD83B">
      <w:pPr>
        <w:pStyle w:val="2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银行转账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；代理人向采购人申请付款时，应同时提供足额增值税专用发票。</w:t>
      </w:r>
    </w:p>
    <w:p w14:paraId="3D6B4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（四）无论本案以何种方式实现债权，均视为服务单位的工作成果（包括但不限于：和解、调解、强制执行等方式结案），采购人均应按约定支付相应的律师代理服务费用。</w:t>
      </w:r>
    </w:p>
    <w:p w14:paraId="0769F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GB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该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律师</w:t>
      </w:r>
      <w:r>
        <w:rPr>
          <w:rFonts w:hint="eastAsia" w:ascii="仿宋" w:hAnsi="仿宋" w:eastAsia="仿宋" w:cs="仿宋"/>
          <w:sz w:val="32"/>
          <w:szCs w:val="32"/>
        </w:rPr>
        <w:t>代理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费</w:t>
      </w:r>
      <w:r>
        <w:rPr>
          <w:rFonts w:hint="eastAsia" w:ascii="仿宋" w:hAnsi="仿宋" w:eastAsia="仿宋" w:cs="仿宋"/>
          <w:sz w:val="32"/>
          <w:szCs w:val="32"/>
        </w:rPr>
        <w:t>用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项目所需的律师费用、珠海市查旅费、通讯费、复印费，但不包括珠海市外的差旅费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。</w:t>
      </w:r>
    </w:p>
    <w:p w14:paraId="3F0F8C9F">
      <w:pPr>
        <w:bidi w:val="0"/>
        <w:rPr>
          <w:rFonts w:hint="eastAsia" w:ascii="仿宋_GB2312" w:hAnsi="仿宋_GB2312" w:eastAsia="仿宋_GB2312" w:cs="仿宋_GB2312"/>
          <w:szCs w:val="32"/>
          <w:lang w:val="en-GB" w:eastAsia="zh-CN"/>
        </w:rPr>
      </w:pPr>
    </w:p>
    <w:p w14:paraId="5EE1BB02">
      <w:pPr>
        <w:autoSpaceDE w:val="0"/>
        <w:autoSpaceDN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26835D-5EC4-4FCA-BB7F-D34840A98A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A30BC17-52EC-4708-AAF6-96140C6A576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F77142-7A00-4245-8308-F8658F84036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0562AE-5FAE-485F-B607-9658C3E64228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A82D3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75474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075474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EAEDD"/>
    <w:multiLevelType w:val="singleLevel"/>
    <w:tmpl w:val="948EAED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291394"/>
    <w:multiLevelType w:val="singleLevel"/>
    <w:tmpl w:val="B92913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TFhNzZmYTIzNjc3OWQwNTk3ZmQ1NGZkODI5MTIifQ=="/>
  </w:docVars>
  <w:rsids>
    <w:rsidRoot w:val="00000000"/>
    <w:rsid w:val="031778B6"/>
    <w:rsid w:val="04131BA8"/>
    <w:rsid w:val="059C1092"/>
    <w:rsid w:val="05A908A7"/>
    <w:rsid w:val="06864B8E"/>
    <w:rsid w:val="070B300A"/>
    <w:rsid w:val="0880635D"/>
    <w:rsid w:val="0A0855DF"/>
    <w:rsid w:val="0A21063D"/>
    <w:rsid w:val="0C1C7BA6"/>
    <w:rsid w:val="0C5114BF"/>
    <w:rsid w:val="0C9A0BC0"/>
    <w:rsid w:val="0DD52C54"/>
    <w:rsid w:val="0E4D596C"/>
    <w:rsid w:val="0F105091"/>
    <w:rsid w:val="0FDA7A1E"/>
    <w:rsid w:val="0FEE208F"/>
    <w:rsid w:val="10036F74"/>
    <w:rsid w:val="10321608"/>
    <w:rsid w:val="12107727"/>
    <w:rsid w:val="1230601B"/>
    <w:rsid w:val="12330450"/>
    <w:rsid w:val="12380A2C"/>
    <w:rsid w:val="13600D9E"/>
    <w:rsid w:val="13DF1AA7"/>
    <w:rsid w:val="14357AFF"/>
    <w:rsid w:val="15E2762C"/>
    <w:rsid w:val="17111DA7"/>
    <w:rsid w:val="173914E9"/>
    <w:rsid w:val="174E10EC"/>
    <w:rsid w:val="17996410"/>
    <w:rsid w:val="18D3753A"/>
    <w:rsid w:val="191351B3"/>
    <w:rsid w:val="199C7AF2"/>
    <w:rsid w:val="1A07097D"/>
    <w:rsid w:val="1A932D34"/>
    <w:rsid w:val="1AA33BEB"/>
    <w:rsid w:val="1ABC0AB3"/>
    <w:rsid w:val="1BF64E91"/>
    <w:rsid w:val="1CDC3FF9"/>
    <w:rsid w:val="1D24353F"/>
    <w:rsid w:val="1F2C3323"/>
    <w:rsid w:val="1F4A0280"/>
    <w:rsid w:val="1F983333"/>
    <w:rsid w:val="20947775"/>
    <w:rsid w:val="20D66D3A"/>
    <w:rsid w:val="211B2C6F"/>
    <w:rsid w:val="229121BE"/>
    <w:rsid w:val="22BB19D2"/>
    <w:rsid w:val="22E01A46"/>
    <w:rsid w:val="22E559D3"/>
    <w:rsid w:val="23490CEA"/>
    <w:rsid w:val="25565941"/>
    <w:rsid w:val="25C65C75"/>
    <w:rsid w:val="26A42EE8"/>
    <w:rsid w:val="26D51563"/>
    <w:rsid w:val="287265EE"/>
    <w:rsid w:val="29845986"/>
    <w:rsid w:val="29C636CF"/>
    <w:rsid w:val="2B397896"/>
    <w:rsid w:val="2C520C10"/>
    <w:rsid w:val="30DD0CC4"/>
    <w:rsid w:val="31832AB6"/>
    <w:rsid w:val="32031EBD"/>
    <w:rsid w:val="322655D9"/>
    <w:rsid w:val="32731483"/>
    <w:rsid w:val="32905A55"/>
    <w:rsid w:val="329B4993"/>
    <w:rsid w:val="337771AE"/>
    <w:rsid w:val="3420447D"/>
    <w:rsid w:val="34797643"/>
    <w:rsid w:val="354E2BE4"/>
    <w:rsid w:val="3586640D"/>
    <w:rsid w:val="35DA1C76"/>
    <w:rsid w:val="371511B8"/>
    <w:rsid w:val="377D5A86"/>
    <w:rsid w:val="389E2236"/>
    <w:rsid w:val="38B90DC6"/>
    <w:rsid w:val="38D17360"/>
    <w:rsid w:val="39833CB7"/>
    <w:rsid w:val="39DE686E"/>
    <w:rsid w:val="39EB4452"/>
    <w:rsid w:val="3C744A3C"/>
    <w:rsid w:val="3C785387"/>
    <w:rsid w:val="3D1D3917"/>
    <w:rsid w:val="3E696074"/>
    <w:rsid w:val="3F5465F5"/>
    <w:rsid w:val="403C5A07"/>
    <w:rsid w:val="4171348E"/>
    <w:rsid w:val="425012F6"/>
    <w:rsid w:val="42714768"/>
    <w:rsid w:val="42CD68B9"/>
    <w:rsid w:val="43224E39"/>
    <w:rsid w:val="44680F9E"/>
    <w:rsid w:val="448343B1"/>
    <w:rsid w:val="44A10425"/>
    <w:rsid w:val="472F65E9"/>
    <w:rsid w:val="4A62250E"/>
    <w:rsid w:val="4B1F4226"/>
    <w:rsid w:val="4C6836E0"/>
    <w:rsid w:val="4E1A6C5C"/>
    <w:rsid w:val="4EC84436"/>
    <w:rsid w:val="4ED91DC5"/>
    <w:rsid w:val="5139564B"/>
    <w:rsid w:val="5261028C"/>
    <w:rsid w:val="534053B7"/>
    <w:rsid w:val="53A96AB8"/>
    <w:rsid w:val="542C7B1E"/>
    <w:rsid w:val="54F254E9"/>
    <w:rsid w:val="551C775D"/>
    <w:rsid w:val="554A799C"/>
    <w:rsid w:val="55524F2D"/>
    <w:rsid w:val="55F12998"/>
    <w:rsid w:val="560B0D4E"/>
    <w:rsid w:val="56BF7A11"/>
    <w:rsid w:val="57D342A4"/>
    <w:rsid w:val="59C75EEA"/>
    <w:rsid w:val="5BE92017"/>
    <w:rsid w:val="5C6C799F"/>
    <w:rsid w:val="609D4DC1"/>
    <w:rsid w:val="609F196E"/>
    <w:rsid w:val="60CA725D"/>
    <w:rsid w:val="61053469"/>
    <w:rsid w:val="61792323"/>
    <w:rsid w:val="61FB321D"/>
    <w:rsid w:val="629628FD"/>
    <w:rsid w:val="6372395E"/>
    <w:rsid w:val="63CB5C01"/>
    <w:rsid w:val="65613F40"/>
    <w:rsid w:val="665B6338"/>
    <w:rsid w:val="670A5668"/>
    <w:rsid w:val="678E44EB"/>
    <w:rsid w:val="69CE4FBB"/>
    <w:rsid w:val="6A6C685D"/>
    <w:rsid w:val="6B591162"/>
    <w:rsid w:val="6CC30793"/>
    <w:rsid w:val="6CEC475F"/>
    <w:rsid w:val="6D8C3900"/>
    <w:rsid w:val="6DC06E3F"/>
    <w:rsid w:val="6DE6294B"/>
    <w:rsid w:val="6EB35EEF"/>
    <w:rsid w:val="70A5412D"/>
    <w:rsid w:val="70A75AB9"/>
    <w:rsid w:val="713B71B1"/>
    <w:rsid w:val="71FC02A3"/>
    <w:rsid w:val="723E08BB"/>
    <w:rsid w:val="72AE5A92"/>
    <w:rsid w:val="72EA0CF9"/>
    <w:rsid w:val="74341F76"/>
    <w:rsid w:val="7456112F"/>
    <w:rsid w:val="75332978"/>
    <w:rsid w:val="755161F4"/>
    <w:rsid w:val="76342701"/>
    <w:rsid w:val="7851759A"/>
    <w:rsid w:val="78E231C0"/>
    <w:rsid w:val="797177C8"/>
    <w:rsid w:val="799E2392"/>
    <w:rsid w:val="7A48677B"/>
    <w:rsid w:val="7A4F3ADD"/>
    <w:rsid w:val="7D272678"/>
    <w:rsid w:val="7D835A06"/>
    <w:rsid w:val="7DB33B66"/>
    <w:rsid w:val="7E9A50CB"/>
    <w:rsid w:val="7F731732"/>
    <w:rsid w:val="7FBB354B"/>
    <w:rsid w:val="7FE24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360" w:lineRule="auto"/>
      <w:outlineLvl w:val="0"/>
    </w:pPr>
    <w:rPr>
      <w:rFonts w:ascii="黑体" w:hAnsi="黑体"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1"/>
    </w:pPr>
    <w:rPr>
      <w:rFonts w:ascii="仿宋" w:hAnsi="仿宋" w:eastAsia="仿宋"/>
      <w:b/>
    </w:rPr>
  </w:style>
  <w:style w:type="paragraph" w:styleId="4">
    <w:name w:val="heading 3"/>
    <w:basedOn w:val="1"/>
    <w:next w:val="1"/>
    <w:unhideWhenUsed/>
    <w:qFormat/>
    <w:uiPriority w:val="0"/>
    <w:pPr>
      <w:spacing w:beforeAutospacing="0" w:afterAutospacing="0"/>
      <w:jc w:val="left"/>
      <w:outlineLvl w:val="2"/>
    </w:pPr>
    <w:rPr>
      <w:rFonts w:hint="eastAsia" w:cs="宋体"/>
      <w:b/>
      <w:bCs/>
      <w:kern w:val="0"/>
      <w:szCs w:val="27"/>
      <w:lang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spacing w:line="360" w:lineRule="auto"/>
      <w:ind w:firstLine="420"/>
    </w:pPr>
    <w:rPr>
      <w:rFonts w:ascii="宋体"/>
    </w:rPr>
  </w:style>
  <w:style w:type="paragraph" w:customStyle="1" w:styleId="6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line="360" w:lineRule="auto"/>
      <w:ind w:firstLine="540" w:firstLineChars="225"/>
    </w:pPr>
    <w:rPr>
      <w:rFonts w:ascii="Times New Roman" w:hAnsi="Times New Roman" w:eastAsia="宋体" w:cs="Times New Roman"/>
      <w:sz w:val="24"/>
      <w:szCs w:val="24"/>
    </w:rPr>
  </w:style>
  <w:style w:type="paragraph" w:styleId="9">
    <w:name w:val="Plain Text"/>
    <w:basedOn w:val="1"/>
    <w:qFormat/>
    <w:uiPriority w:val="0"/>
    <w:pPr>
      <w:spacing w:line="300" w:lineRule="auto"/>
    </w:pPr>
    <w:rPr>
      <w:rFonts w:ascii="宋体" w:hAnsi="Courier New"/>
      <w:sz w:val="21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14">
    <w:name w:val="Body Text First Indent 2"/>
    <w:basedOn w:val="8"/>
    <w:unhideWhenUsed/>
    <w:qFormat/>
    <w:uiPriority w:val="99"/>
    <w:pPr>
      <w:ind w:firstLine="420" w:firstLineChars="200"/>
    </w:p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普通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customStyle="1" w:styleId="19">
    <w:name w:val="_Style 1"/>
    <w:basedOn w:val="1"/>
    <w:qFormat/>
    <w:uiPriority w:val="34"/>
    <w:pPr>
      <w:ind w:firstLine="420" w:firstLineChars="200"/>
    </w:pPr>
    <w:rPr>
      <w:rFonts w:ascii="Times New Roman" w:hAnsi="Times New Roman"/>
      <w:szCs w:val="22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21"/>
    <w:basedOn w:val="16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paragraph" w:customStyle="1" w:styleId="23">
    <w:name w:val="List Paragraph1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1398</Words>
  <Characters>1615</Characters>
  <Lines>0</Lines>
  <Paragraphs>0</Paragraphs>
  <TotalTime>10</TotalTime>
  <ScaleCrop>false</ScaleCrop>
  <LinksUpToDate>false</LinksUpToDate>
  <CharactersWithSpaces>1621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范蕊娟</cp:lastModifiedBy>
  <dcterms:modified xsi:type="dcterms:W3CDTF">2025-08-01T11:25:01Z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2981A168735644FABB5C0D2216C8AC5D_13</vt:lpwstr>
  </property>
  <property fmtid="{D5CDD505-2E9C-101B-9397-08002B2CF9AE}" pid="4" name="KSOTemplateDocerSaveRecord">
    <vt:lpwstr>eyJoZGlkIjoiNjgwNTFhNzZmYTIzNjc3OWQwNTk3ZmQ1NGZkODI5MTIiLCJ1c2VySWQiOiIxNjI0NDgwOTc0In0=</vt:lpwstr>
  </property>
</Properties>
</file>