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49A76">
      <w:pPr>
        <w:pStyle w:val="17"/>
        <w:keepNext w:val="0"/>
        <w:keepLines w:val="0"/>
        <w:pageBreakBefore w:val="0"/>
        <w:numPr>
          <w:ilvl w:val="255"/>
          <w:numId w:val="0"/>
        </w:numPr>
        <w:kinsoku/>
        <w:wordWrap/>
        <w:overflowPunct/>
        <w:topLinePunct w:val="0"/>
        <w:autoSpaceDE/>
        <w:autoSpaceDN/>
        <w:bidi w:val="0"/>
        <w:adjustRightInd/>
        <w:snapToGrid/>
        <w:spacing w:line="560" w:lineRule="exact"/>
        <w:ind w:left="0" w:firstLine="0" w:firstLineChars="0"/>
        <w:jc w:val="center"/>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珠海建工控股集团有限公司2026知识产权代理服务项目采购</w:t>
      </w:r>
    </w:p>
    <w:p w14:paraId="09B59E1D">
      <w:pPr>
        <w:pStyle w:val="17"/>
        <w:keepNext w:val="0"/>
        <w:keepLines w:val="0"/>
        <w:pageBreakBefore w:val="0"/>
        <w:numPr>
          <w:ilvl w:val="255"/>
          <w:numId w:val="0"/>
        </w:numPr>
        <w:kinsoku/>
        <w:wordWrap/>
        <w:overflowPunct/>
        <w:topLinePunct w:val="0"/>
        <w:autoSpaceDE/>
        <w:autoSpaceDN/>
        <w:bidi w:val="0"/>
        <w:adjustRightInd/>
        <w:snapToGrid/>
        <w:spacing w:line="560" w:lineRule="exact"/>
        <w:ind w:left="0" w:firstLine="0" w:firstLineChars="0"/>
        <w:jc w:val="both"/>
        <w:rPr>
          <w:rFonts w:hint="default" w:ascii="仿宋" w:hAnsi="仿宋" w:eastAsia="仿宋" w:cstheme="minorBidi"/>
          <w:b/>
          <w:color w:val="000000" w:themeColor="text1"/>
          <w:kern w:val="2"/>
          <w:sz w:val="32"/>
          <w:szCs w:val="32"/>
          <w:lang w:val="en-US" w:eastAsia="zh-CN" w:bidi="ar-SA"/>
          <w14:textFill>
            <w14:solidFill>
              <w14:schemeClr w14:val="tx1"/>
            </w14:solidFill>
          </w14:textFill>
        </w:rPr>
      </w:pPr>
    </w:p>
    <w:p w14:paraId="0F1406F6">
      <w:pPr>
        <w:pStyle w:val="17"/>
        <w:keepNext w:val="0"/>
        <w:keepLines w:val="0"/>
        <w:pageBreakBefore w:val="0"/>
        <w:numPr>
          <w:ilvl w:val="255"/>
          <w:numId w:val="0"/>
        </w:numPr>
        <w:kinsoku/>
        <w:wordWrap/>
        <w:overflowPunct/>
        <w:topLinePunct w:val="0"/>
        <w:autoSpaceDE/>
        <w:autoSpaceDN/>
        <w:bidi w:val="0"/>
        <w:adjustRightInd/>
        <w:snapToGrid/>
        <w:spacing w:line="560" w:lineRule="exact"/>
        <w:ind w:left="0" w:firstLine="0" w:firstLineChars="0"/>
        <w:jc w:val="both"/>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t>一、</w:t>
      </w:r>
      <w:r>
        <w:rPr>
          <w:rFonts w:hint="eastAsia" w:ascii="黑体" w:hAnsi="黑体" w:eastAsia="黑体" w:cs="黑体"/>
          <w:b w:val="0"/>
          <w:bCs/>
          <w:color w:val="000000" w:themeColor="text1"/>
          <w:sz w:val="32"/>
          <w:szCs w:val="32"/>
          <w:highlight w:val="none"/>
          <w14:textFill>
            <w14:solidFill>
              <w14:schemeClr w14:val="tx1"/>
            </w14:solidFill>
          </w14:textFill>
        </w:rPr>
        <w:t>采购项目名称</w:t>
      </w:r>
    </w:p>
    <w:p w14:paraId="705405E3">
      <w:pPr>
        <w:pStyle w:val="17"/>
        <w:keepNext w:val="0"/>
        <w:keepLines w:val="0"/>
        <w:pageBreakBefore w:val="0"/>
        <w:widowControl w:val="0"/>
        <w:numPr>
          <w:ilvl w:val="255"/>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仿宋" w:hAnsi="仿宋" w:eastAsia="仿宋"/>
          <w:bCs/>
          <w:color w:val="000000" w:themeColor="text1"/>
          <w:sz w:val="32"/>
          <w:szCs w:val="32"/>
          <w:highlight w:val="none"/>
          <w:lang w:val="en-US" w:eastAsia="zh-CN"/>
          <w14:textFill>
            <w14:solidFill>
              <w14:schemeClr w14:val="tx1"/>
            </w14:solidFill>
          </w14:textFill>
        </w:rPr>
      </w:pPr>
      <w:r>
        <w:rPr>
          <w:rFonts w:hint="eastAsia" w:ascii="仿宋" w:hAnsi="仿宋" w:eastAsia="仿宋"/>
          <w:bCs/>
          <w:color w:val="000000" w:themeColor="text1"/>
          <w:sz w:val="32"/>
          <w:szCs w:val="32"/>
          <w:highlight w:val="none"/>
          <w:lang w:val="en-US" w:eastAsia="zh-CN"/>
          <w14:textFill>
            <w14:solidFill>
              <w14:schemeClr w14:val="tx1"/>
            </w14:solidFill>
          </w14:textFill>
        </w:rPr>
        <w:t>珠海建工控股集团有限公司2026知识产权代理服务采购项目。</w:t>
      </w:r>
    </w:p>
    <w:p w14:paraId="54E091CC">
      <w:pPr>
        <w:pStyle w:val="17"/>
        <w:keepNext w:val="0"/>
        <w:keepLines w:val="0"/>
        <w:pageBreakBefore w:val="0"/>
        <w:numPr>
          <w:ilvl w:val="255"/>
          <w:numId w:val="0"/>
        </w:numPr>
        <w:kinsoku/>
        <w:wordWrap/>
        <w:overflowPunct/>
        <w:topLinePunct w:val="0"/>
        <w:autoSpaceDE/>
        <w:autoSpaceDN/>
        <w:bidi w:val="0"/>
        <w:adjustRightInd/>
        <w:snapToGrid/>
        <w:spacing w:line="560" w:lineRule="exact"/>
        <w:ind w:left="0" w:firstLine="0" w:firstLineChars="0"/>
        <w:jc w:val="both"/>
        <w:rPr>
          <w:rFonts w:hint="eastAsia" w:ascii="黑体" w:hAnsi="黑体" w:eastAsia="黑体" w:cs="黑体"/>
          <w:b w:val="0"/>
          <w:bCs/>
          <w:color w:val="000000" w:themeColor="text1"/>
          <w:sz w:val="32"/>
          <w:szCs w:val="32"/>
          <w:highlight w:val="none"/>
          <w14:textFill>
            <w14:solidFill>
              <w14:schemeClr w14:val="tx1"/>
            </w14:solidFill>
          </w14:textFill>
        </w:rPr>
      </w:pPr>
      <w:r>
        <w:rPr>
          <w:rFonts w:hint="default" w:ascii="黑体" w:hAnsi="黑体" w:eastAsia="黑体" w:cs="黑体"/>
          <w:b w:val="0"/>
          <w:bCs/>
          <w:color w:val="000000" w:themeColor="text1"/>
          <w:sz w:val="32"/>
          <w:szCs w:val="32"/>
          <w:highlight w:val="none"/>
          <w:lang w:val="en-US" w:eastAsia="zh-CN"/>
          <w14:textFill>
            <w14:solidFill>
              <w14:schemeClr w14:val="tx1"/>
            </w14:solidFill>
          </w14:textFill>
        </w:rPr>
        <w:t>二、</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背景/项目概括</w:t>
      </w:r>
    </w:p>
    <w:p w14:paraId="5904853E">
      <w:pPr>
        <w:pStyle w:val="17"/>
        <w:keepNext w:val="0"/>
        <w:keepLines w:val="0"/>
        <w:pageBreakBefore w:val="0"/>
        <w:widowControl w:val="0"/>
        <w:numPr>
          <w:ilvl w:val="255"/>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bCs/>
          <w:color w:val="000000" w:themeColor="text1"/>
          <w:sz w:val="32"/>
          <w:szCs w:val="32"/>
          <w:highlight w:val="none"/>
          <w:lang w:val="en-US" w:eastAsia="zh-CN"/>
          <w14:textFill>
            <w14:solidFill>
              <w14:schemeClr w14:val="tx1"/>
            </w14:solidFill>
          </w14:textFill>
        </w:rPr>
      </w:pPr>
      <w:r>
        <w:rPr>
          <w:rFonts w:hint="eastAsia" w:ascii="仿宋" w:hAnsi="仿宋" w:eastAsia="仿宋"/>
          <w:bCs/>
          <w:color w:val="000000" w:themeColor="text1"/>
          <w:sz w:val="32"/>
          <w:szCs w:val="32"/>
          <w:highlight w:val="none"/>
          <w:lang w:val="en-US" w:eastAsia="zh-CN"/>
          <w14:textFill>
            <w14:solidFill>
              <w14:schemeClr w14:val="tx1"/>
            </w14:solidFill>
          </w14:textFill>
        </w:rPr>
        <w:t>为深入贯彻落实国家创新驱动发展战略及知识产权强国建设纲要精神，持续强化企业科技创新主体地位，夯实公司高新技术企业资质维护与发展的基础，系统构建和完善知识产权保护体系，现拟启动2026年度知识产权代理服务采购工作。为满足2026年企业发展规划、研发投入及营收目标对知识产权支撑的必然要求，需委托专业知识产权服务机构，完成既定技术成果的专利化布局与申请工作，以构建与公司技术实力和战略方向相匹配的专利组合，增强企业核心竞争力和风险防控能力。</w:t>
      </w:r>
    </w:p>
    <w:p w14:paraId="288286F6">
      <w:pPr>
        <w:pStyle w:val="17"/>
        <w:keepNext w:val="0"/>
        <w:keepLines w:val="0"/>
        <w:pageBreakBefore w:val="0"/>
        <w:numPr>
          <w:ilvl w:val="255"/>
          <w:numId w:val="0"/>
        </w:numPr>
        <w:kinsoku/>
        <w:wordWrap/>
        <w:overflowPunct/>
        <w:topLinePunct w:val="0"/>
        <w:autoSpaceDE/>
        <w:autoSpaceDN/>
        <w:bidi w:val="0"/>
        <w:adjustRightInd/>
        <w:snapToGrid/>
        <w:spacing w:line="560" w:lineRule="exact"/>
        <w:ind w:left="0" w:firstLine="0" w:firstLineChars="0"/>
        <w:jc w:val="both"/>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pPr>
      <w:r>
        <w:rPr>
          <w:rFonts w:hint="default" w:ascii="黑体" w:hAnsi="黑体" w:eastAsia="黑体" w:cs="黑体"/>
          <w:b w:val="0"/>
          <w:bCs/>
          <w:color w:val="000000" w:themeColor="text1"/>
          <w:sz w:val="32"/>
          <w:szCs w:val="32"/>
          <w:highlight w:val="none"/>
          <w:lang w:val="en-US" w:eastAsia="zh-CN"/>
          <w14:textFill>
            <w14:solidFill>
              <w14:schemeClr w14:val="tx1"/>
            </w14:solidFill>
          </w14:textFill>
        </w:rPr>
        <w:t>三、</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合同承包方式</w:t>
      </w:r>
    </w:p>
    <w:p w14:paraId="21059063">
      <w:pPr>
        <w:pStyle w:val="17"/>
        <w:keepNext w:val="0"/>
        <w:keepLines w:val="0"/>
        <w:pageBreakBefore w:val="0"/>
        <w:numPr>
          <w:ilvl w:val="0"/>
          <w:numId w:val="0"/>
        </w:numPr>
        <w:kinsoku/>
        <w:wordWrap/>
        <w:overflowPunct/>
        <w:topLinePunct w:val="0"/>
        <w:autoSpaceDE/>
        <w:autoSpaceDN/>
        <w:bidi w:val="0"/>
        <w:adjustRightInd/>
        <w:snapToGrid/>
        <w:spacing w:line="560" w:lineRule="exact"/>
        <w:ind w:left="420" w:leftChars="0" w:firstLine="420" w:firstLineChars="0"/>
        <w:jc w:val="both"/>
        <w:rPr>
          <w:rFonts w:hint="default" w:ascii="仿宋" w:hAnsi="仿宋" w:eastAsia="仿宋"/>
          <w:b/>
          <w:sz w:val="32"/>
          <w:szCs w:val="32"/>
          <w:highlight w:val="none"/>
          <w:lang w:val="en-US" w:eastAsia="zh-CN"/>
        </w:rPr>
      </w:pPr>
      <w:r>
        <w:rPr>
          <w:rFonts w:hint="eastAsia" w:ascii="仿宋" w:hAnsi="仿宋" w:eastAsia="仿宋"/>
          <w:b/>
          <w:sz w:val="32"/>
          <w:szCs w:val="32"/>
          <w:highlight w:val="none"/>
          <w:lang w:val="en-US" w:eastAsia="zh-CN"/>
        </w:rPr>
        <w:sym w:font="Wingdings 2" w:char="0052"/>
      </w:r>
      <w:r>
        <w:rPr>
          <w:rFonts w:hint="eastAsia" w:ascii="仿宋" w:hAnsi="仿宋" w:eastAsia="仿宋"/>
          <w:b/>
          <w:sz w:val="32"/>
          <w:szCs w:val="32"/>
          <w:highlight w:val="none"/>
          <w:lang w:val="en-US" w:eastAsia="zh-CN"/>
        </w:rPr>
        <w:t>固定综合单价合同</w:t>
      </w:r>
    </w:p>
    <w:p w14:paraId="3BF2B1FE">
      <w:pPr>
        <w:pStyle w:val="17"/>
        <w:keepNext w:val="0"/>
        <w:keepLines w:val="0"/>
        <w:pageBreakBefore w:val="0"/>
        <w:numPr>
          <w:ilvl w:val="0"/>
          <w:numId w:val="0"/>
        </w:numPr>
        <w:kinsoku/>
        <w:wordWrap/>
        <w:overflowPunct/>
        <w:topLinePunct w:val="0"/>
        <w:autoSpaceDE/>
        <w:autoSpaceDN/>
        <w:bidi w:val="0"/>
        <w:adjustRightInd/>
        <w:snapToGrid/>
        <w:spacing w:line="560" w:lineRule="exact"/>
        <w:ind w:left="420" w:leftChars="0" w:firstLine="420" w:firstLineChars="0"/>
        <w:jc w:val="both"/>
        <w:rPr>
          <w:rFonts w:hint="default" w:ascii="仿宋" w:hAnsi="仿宋" w:eastAsia="仿宋"/>
          <w:b/>
          <w:sz w:val="32"/>
          <w:szCs w:val="32"/>
          <w:highlight w:val="none"/>
          <w:lang w:val="en-US"/>
        </w:rPr>
      </w:pPr>
      <w:r>
        <w:rPr>
          <w:rFonts w:hint="eastAsia" w:ascii="仿宋" w:hAnsi="仿宋" w:eastAsia="仿宋"/>
          <w:b/>
          <w:sz w:val="32"/>
          <w:szCs w:val="32"/>
          <w:highlight w:val="none"/>
          <w:lang w:val="en-US" w:eastAsia="zh-CN"/>
        </w:rPr>
        <w:sym w:font="Wingdings 2" w:char="00A3"/>
      </w:r>
      <w:r>
        <w:rPr>
          <w:rFonts w:hint="eastAsia" w:ascii="仿宋" w:hAnsi="仿宋" w:eastAsia="仿宋"/>
          <w:b/>
          <w:sz w:val="32"/>
          <w:szCs w:val="32"/>
          <w:highlight w:val="none"/>
          <w:lang w:val="en-US" w:eastAsia="zh-CN"/>
        </w:rPr>
        <w:t>固定总价合同</w:t>
      </w:r>
    </w:p>
    <w:p w14:paraId="2B052DB6">
      <w:pPr>
        <w:pStyle w:val="17"/>
        <w:keepNext w:val="0"/>
        <w:keepLines w:val="0"/>
        <w:pageBreakBefore w:val="0"/>
        <w:numPr>
          <w:ilvl w:val="255"/>
          <w:numId w:val="0"/>
        </w:numPr>
        <w:kinsoku/>
        <w:wordWrap/>
        <w:overflowPunct/>
        <w:topLinePunct w:val="0"/>
        <w:autoSpaceDE/>
        <w:autoSpaceDN/>
        <w:bidi w:val="0"/>
        <w:adjustRightInd/>
        <w:snapToGrid/>
        <w:spacing w:line="560" w:lineRule="exact"/>
        <w:ind w:left="0" w:firstLine="0" w:firstLineChars="0"/>
        <w:jc w:val="both"/>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pPr>
      <w:r>
        <w:rPr>
          <w:rFonts w:hint="default" w:ascii="黑体" w:hAnsi="黑体" w:eastAsia="黑体" w:cs="黑体"/>
          <w:b w:val="0"/>
          <w:bCs/>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服务内容及要求（包括但不限于以下内容）</w:t>
      </w:r>
    </w:p>
    <w:p w14:paraId="3B2CEFF7">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kern w:val="2"/>
          <w:sz w:val="32"/>
          <w:szCs w:val="32"/>
          <w:lang w:val="en-US" w:eastAsia="zh-CN" w:bidi="ar-SA"/>
        </w:rPr>
        <w:t>（一）</w:t>
      </w:r>
      <w:r>
        <w:rPr>
          <w:rFonts w:hint="eastAsia" w:ascii="楷体_GB2312" w:hAnsi="楷体_GB2312" w:eastAsia="楷体_GB2312" w:cs="楷体_GB2312"/>
          <w:b/>
          <w:bCs/>
          <w:sz w:val="32"/>
          <w:szCs w:val="32"/>
          <w:highlight w:val="none"/>
          <w:lang w:val="en-US" w:eastAsia="zh-CN"/>
        </w:rPr>
        <w:t>服务内容</w:t>
      </w:r>
    </w:p>
    <w:p w14:paraId="2B7D137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theme="minorBidi"/>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kern w:val="2"/>
          <w:sz w:val="32"/>
          <w:szCs w:val="32"/>
          <w:highlight w:val="none"/>
          <w:lang w:val="en-US" w:eastAsia="zh-CN" w:bidi="ar-SA"/>
          <w14:textFill>
            <w14:solidFill>
              <w14:schemeClr w14:val="tx1"/>
            </w14:solidFill>
          </w14:textFill>
        </w:rPr>
        <w:t>提供涵盖中国大陆地区的发明专利、实用新型专利、软著申请等代理服务，包括但不限于专利挖掘、技术交底书撰写指导、专利申请文件撰写、提交、审查意见答复、流程跟踪、状态监控及授权后年费代缴提醒等全流程服务。包括但不限于以下事项：</w:t>
      </w:r>
    </w:p>
    <w:p w14:paraId="79427CDF">
      <w:pPr>
        <w:pStyle w:val="14"/>
        <w:ind w:firstLine="640" w:firstLineChars="200"/>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t>（1）配合我司技术研发部门，进行专利挖掘与分析，协助确定专利申请策略与布局规划；</w:t>
      </w:r>
    </w:p>
    <w:p w14:paraId="40A31174">
      <w:pPr>
        <w:pStyle w:val="14"/>
        <w:ind w:firstLine="640" w:firstLineChars="200"/>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t>（2）根据我司提供的技术资料，撰写高质量的专利申请文件（包括说明书、权利要求书、摘要、附图等），确保技术内容得到充分、恰当的保护；</w:t>
      </w:r>
    </w:p>
    <w:p w14:paraId="08F0C22E">
      <w:pPr>
        <w:pStyle w:val="14"/>
        <w:ind w:firstLine="640" w:firstLineChars="200"/>
        <w:rPr>
          <w:rFonts w:hint="default"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t>（3）负责向国家知识产权局提交专利申请，并全程跟踪审查流程，及时反馈官方文件及状态信息；</w:t>
      </w:r>
    </w:p>
    <w:p w14:paraId="5E9B93F0">
      <w:pPr>
        <w:pStyle w:val="14"/>
        <w:ind w:firstLine="640" w:firstLineChars="200"/>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t>（4）针对专利审查意见通知书，提供专业的分析与答复建议，撰写并提交答复意见，争取最佳授权范围；</w:t>
      </w:r>
    </w:p>
    <w:p w14:paraId="72F024D6">
      <w:pPr>
        <w:pStyle w:val="14"/>
        <w:ind w:firstLine="640" w:firstLineChars="200"/>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t>（5）提供日常知识产权事务咨询，根据需要提供专利相关知识或政策的内部分享培训；</w:t>
      </w:r>
    </w:p>
    <w:p w14:paraId="52984C9D">
      <w:pPr>
        <w:pStyle w:val="14"/>
        <w:ind w:firstLine="640" w:firstLineChars="200"/>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t>（6）须对我司提供的所有技术信息、商业信息承担严格的保密责任；</w:t>
      </w:r>
    </w:p>
    <w:p w14:paraId="32CF943C">
      <w:pPr>
        <w:pStyle w:val="14"/>
        <w:ind w:firstLine="640" w:firstLineChars="200"/>
        <w:rPr>
          <w:rFonts w:hint="default"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t>（7）服务过程中积极响应采购人需求，提供高效、专业的代理服务，确保采购的合法权益得到有效维护。</w:t>
      </w:r>
    </w:p>
    <w:p w14:paraId="37386EA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楷体_GB2312" w:hAnsi="楷体_GB2312" w:eastAsia="楷体_GB2312" w:cs="楷体_GB2312"/>
          <w:b/>
          <w:bCs/>
          <w:sz w:val="32"/>
          <w:szCs w:val="32"/>
          <w:highlight w:val="none"/>
          <w:lang w:val="en-US" w:eastAsia="zh-CN"/>
        </w:rPr>
      </w:pPr>
      <w:r>
        <w:rPr>
          <w:rFonts w:hint="eastAsia" w:ascii="仿宋" w:hAnsi="仿宋" w:eastAsia="仿宋" w:cstheme="minorBidi"/>
          <w:bCs/>
          <w:color w:val="000000" w:themeColor="text1"/>
          <w:kern w:val="2"/>
          <w:sz w:val="32"/>
          <w:szCs w:val="32"/>
          <w:highlight w:val="none"/>
          <w:lang w:val="en-US" w:eastAsia="zh-CN" w:bidi="ar-SA"/>
          <w14:textFill>
            <w14:solidFill>
              <w14:schemeClr w14:val="tx1"/>
            </w14:solidFill>
          </w14:textFill>
        </w:rPr>
        <w:t>清单如下：</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2"/>
        <w:gridCol w:w="2217"/>
        <w:gridCol w:w="2510"/>
      </w:tblGrid>
      <w:tr w14:paraId="3CE6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25" w:type="pct"/>
            <w:noWrap w:val="0"/>
            <w:vAlign w:val="center"/>
          </w:tcPr>
          <w:p w14:paraId="4DD90BCA">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项目名称</w:t>
            </w:r>
          </w:p>
        </w:tc>
        <w:tc>
          <w:tcPr>
            <w:tcW w:w="1301" w:type="pct"/>
            <w:noWrap w:val="0"/>
            <w:vAlign w:val="center"/>
          </w:tcPr>
          <w:p w14:paraId="2C031BD8">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c>
          <w:tcPr>
            <w:tcW w:w="1473" w:type="pct"/>
            <w:noWrap w:val="0"/>
            <w:vAlign w:val="center"/>
          </w:tcPr>
          <w:p w14:paraId="15137C7D">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w:t>
            </w:r>
          </w:p>
        </w:tc>
      </w:tr>
      <w:tr w14:paraId="6CF8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25" w:type="pct"/>
            <w:noWrap w:val="0"/>
            <w:vAlign w:val="center"/>
          </w:tcPr>
          <w:p w14:paraId="27A6A294">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普通发明专利代理</w:t>
            </w:r>
          </w:p>
        </w:tc>
        <w:tc>
          <w:tcPr>
            <w:tcW w:w="1301" w:type="pct"/>
            <w:noWrap w:val="0"/>
            <w:vAlign w:val="center"/>
          </w:tcPr>
          <w:p w14:paraId="1110F449">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2件</w:t>
            </w:r>
          </w:p>
        </w:tc>
        <w:tc>
          <w:tcPr>
            <w:tcW w:w="1473" w:type="pct"/>
            <w:vMerge w:val="restart"/>
            <w:noWrap w:val="0"/>
            <w:vAlign w:val="center"/>
          </w:tcPr>
          <w:p w14:paraId="53350ED9">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按照暂定的知识产权数计量，最终以实际申办的知识产权数量为准。</w:t>
            </w:r>
          </w:p>
        </w:tc>
      </w:tr>
      <w:tr w14:paraId="6B22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25" w:type="pct"/>
            <w:noWrap w:val="0"/>
            <w:vAlign w:val="center"/>
          </w:tcPr>
          <w:p w14:paraId="321EDB9B">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发明专利风险代理</w:t>
            </w:r>
          </w:p>
        </w:tc>
        <w:tc>
          <w:tcPr>
            <w:tcW w:w="1301" w:type="pct"/>
            <w:noWrap w:val="0"/>
            <w:vAlign w:val="center"/>
          </w:tcPr>
          <w:p w14:paraId="6B045C03">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2件</w:t>
            </w:r>
          </w:p>
        </w:tc>
        <w:tc>
          <w:tcPr>
            <w:tcW w:w="1473" w:type="pct"/>
            <w:vMerge w:val="continue"/>
            <w:noWrap w:val="0"/>
            <w:vAlign w:val="center"/>
          </w:tcPr>
          <w:p w14:paraId="6E4F1D1F">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center"/>
              <w:textAlignment w:val="center"/>
              <w:rPr>
                <w:rFonts w:hint="eastAsia" w:ascii="仿宋" w:hAnsi="仿宋" w:eastAsia="仿宋" w:cs="仿宋"/>
                <w:i w:val="0"/>
                <w:iCs w:val="0"/>
                <w:color w:val="000000"/>
                <w:kern w:val="0"/>
                <w:sz w:val="28"/>
                <w:szCs w:val="28"/>
                <w:u w:val="none"/>
                <w:lang w:val="en-US" w:eastAsia="zh-CN" w:bidi="ar"/>
              </w:rPr>
            </w:pPr>
          </w:p>
        </w:tc>
      </w:tr>
      <w:tr w14:paraId="4504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25" w:type="pct"/>
            <w:noWrap w:val="0"/>
            <w:vAlign w:val="center"/>
          </w:tcPr>
          <w:p w14:paraId="30D8A143">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实用新型专利代理</w:t>
            </w:r>
          </w:p>
        </w:tc>
        <w:tc>
          <w:tcPr>
            <w:tcW w:w="1301" w:type="pct"/>
            <w:noWrap w:val="0"/>
            <w:vAlign w:val="center"/>
          </w:tcPr>
          <w:p w14:paraId="0C02D2E2">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10件</w:t>
            </w:r>
          </w:p>
        </w:tc>
        <w:tc>
          <w:tcPr>
            <w:tcW w:w="1473" w:type="pct"/>
            <w:vMerge w:val="continue"/>
            <w:noWrap w:val="0"/>
            <w:vAlign w:val="center"/>
          </w:tcPr>
          <w:p w14:paraId="22A97505">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center"/>
              <w:textAlignment w:val="center"/>
              <w:rPr>
                <w:rFonts w:hint="eastAsia" w:ascii="仿宋" w:hAnsi="仿宋" w:eastAsia="仿宋" w:cs="仿宋"/>
                <w:i w:val="0"/>
                <w:iCs w:val="0"/>
                <w:color w:val="000000"/>
                <w:sz w:val="28"/>
                <w:szCs w:val="28"/>
                <w:u w:val="none"/>
              </w:rPr>
            </w:pPr>
          </w:p>
        </w:tc>
      </w:tr>
      <w:tr w14:paraId="6D1B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25" w:type="pct"/>
            <w:noWrap w:val="0"/>
            <w:vAlign w:val="center"/>
          </w:tcPr>
          <w:p w14:paraId="1BD71E28">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软件著作申请代理（加急）</w:t>
            </w:r>
          </w:p>
        </w:tc>
        <w:tc>
          <w:tcPr>
            <w:tcW w:w="1301" w:type="pct"/>
            <w:noWrap w:val="0"/>
            <w:vAlign w:val="center"/>
          </w:tcPr>
          <w:p w14:paraId="1FF52B70">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1件</w:t>
            </w:r>
          </w:p>
        </w:tc>
        <w:tc>
          <w:tcPr>
            <w:tcW w:w="1473" w:type="pct"/>
            <w:vMerge w:val="continue"/>
            <w:noWrap w:val="0"/>
            <w:vAlign w:val="center"/>
          </w:tcPr>
          <w:p w14:paraId="5DB755B7">
            <w:pPr>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ascii="仿宋" w:hAnsi="仿宋" w:eastAsia="仿宋" w:cs="仿宋"/>
                <w:i w:val="0"/>
                <w:iCs w:val="0"/>
                <w:color w:val="000000"/>
                <w:sz w:val="28"/>
                <w:szCs w:val="28"/>
                <w:u w:val="none"/>
              </w:rPr>
            </w:pPr>
          </w:p>
        </w:tc>
      </w:tr>
      <w:tr w14:paraId="3671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25" w:type="pct"/>
            <w:noWrap w:val="0"/>
            <w:vAlign w:val="center"/>
          </w:tcPr>
          <w:p w14:paraId="554E4073">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官费代缴维护服务</w:t>
            </w:r>
          </w:p>
        </w:tc>
        <w:tc>
          <w:tcPr>
            <w:tcW w:w="1301" w:type="pct"/>
            <w:noWrap w:val="0"/>
            <w:vAlign w:val="center"/>
          </w:tcPr>
          <w:p w14:paraId="7FACC12F">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1项</w:t>
            </w:r>
          </w:p>
        </w:tc>
        <w:tc>
          <w:tcPr>
            <w:tcW w:w="1473" w:type="pct"/>
            <w:vMerge w:val="continue"/>
            <w:noWrap w:val="0"/>
            <w:vAlign w:val="center"/>
          </w:tcPr>
          <w:p w14:paraId="49D01F49">
            <w:pPr>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ascii="仿宋" w:hAnsi="仿宋" w:eastAsia="仿宋" w:cs="仿宋"/>
                <w:i w:val="0"/>
                <w:iCs w:val="0"/>
                <w:color w:val="000000"/>
                <w:sz w:val="28"/>
                <w:szCs w:val="28"/>
                <w:u w:val="none"/>
              </w:rPr>
            </w:pPr>
          </w:p>
        </w:tc>
      </w:tr>
      <w:tr w14:paraId="6A1E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25" w:type="pct"/>
            <w:noWrap w:val="0"/>
            <w:vAlign w:val="center"/>
          </w:tcPr>
          <w:p w14:paraId="42197AC9">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科技项目咨询服务（专利相关咨询）</w:t>
            </w:r>
          </w:p>
        </w:tc>
        <w:tc>
          <w:tcPr>
            <w:tcW w:w="1301" w:type="pct"/>
            <w:noWrap w:val="0"/>
            <w:vAlign w:val="center"/>
          </w:tcPr>
          <w:p w14:paraId="3891FD9F">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1项</w:t>
            </w:r>
          </w:p>
        </w:tc>
        <w:tc>
          <w:tcPr>
            <w:tcW w:w="1473" w:type="pct"/>
            <w:vMerge w:val="continue"/>
            <w:noWrap w:val="0"/>
            <w:vAlign w:val="center"/>
          </w:tcPr>
          <w:p w14:paraId="2B4D62E2">
            <w:pPr>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ascii="仿宋" w:hAnsi="仿宋" w:eastAsia="仿宋" w:cs="仿宋"/>
                <w:i w:val="0"/>
                <w:iCs w:val="0"/>
                <w:color w:val="000000"/>
                <w:sz w:val="28"/>
                <w:szCs w:val="28"/>
                <w:u w:val="none"/>
              </w:rPr>
            </w:pPr>
          </w:p>
        </w:tc>
      </w:tr>
    </w:tbl>
    <w:p w14:paraId="3DB973FC">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（二）服务要求</w:t>
      </w:r>
    </w:p>
    <w:p w14:paraId="7422708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 w:hAnsi="仿宋" w:eastAsia="仿宋" w:cstheme="minorBidi"/>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kern w:val="2"/>
          <w:sz w:val="32"/>
          <w:szCs w:val="32"/>
          <w:highlight w:val="none"/>
          <w:lang w:val="en-US" w:eastAsia="zh-CN" w:bidi="ar-SA"/>
          <w14:textFill>
            <w14:solidFill>
              <w14:schemeClr w14:val="tx1"/>
            </w14:solidFill>
          </w14:textFill>
        </w:rPr>
        <w:t>1.需具有专利代理机构执业许可证；</w:t>
      </w:r>
    </w:p>
    <w:p w14:paraId="01FE96B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 w:hAnsi="仿宋" w:eastAsia="仿宋" w:cstheme="minorBidi"/>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kern w:val="2"/>
          <w:sz w:val="32"/>
          <w:szCs w:val="32"/>
          <w:highlight w:val="none"/>
          <w:lang w:val="en-US" w:eastAsia="zh-CN" w:bidi="ar-SA"/>
          <w14:textFill>
            <w14:solidFill>
              <w14:schemeClr w14:val="tx1"/>
            </w14:solidFill>
          </w14:textFill>
        </w:rPr>
        <w:t>2.需指派固定的、经验丰富的专利代理师组成服务团队，至少配备1名专利代理师全程跟进；</w:t>
      </w:r>
    </w:p>
    <w:p w14:paraId="11CB2F89">
      <w:pPr>
        <w:spacing w:line="560" w:lineRule="exact"/>
        <w:ind w:firstLine="640" w:firstLineChars="200"/>
        <w:jc w:val="both"/>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kern w:val="2"/>
          <w:sz w:val="32"/>
          <w:szCs w:val="32"/>
          <w:highlight w:val="none"/>
          <w:lang w:val="en-US" w:eastAsia="zh-CN" w:bidi="ar-SA"/>
          <w14:textFill>
            <w14:solidFill>
              <w14:schemeClr w14:val="tx1"/>
            </w14:solidFill>
          </w14:textFill>
        </w:rPr>
        <w:t>3.</w:t>
      </w:r>
      <w:r>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t>具备与本次服务事项类似的成功案例。</w:t>
      </w:r>
    </w:p>
    <w:p w14:paraId="7474EF3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b w:val="0"/>
          <w:bCs/>
          <w:color w:val="000000" w:themeColor="text1"/>
          <w:kern w:val="2"/>
          <w:sz w:val="32"/>
          <w:szCs w:val="32"/>
          <w:highlight w:val="none"/>
          <w:lang w:val="en-US" w:eastAsia="zh-CN" w:bidi="ar-SA"/>
          <w14:textFill>
            <w14:solidFill>
              <w14:schemeClr w14:val="tx1"/>
            </w14:solidFill>
          </w14:textFill>
        </w:rPr>
      </w:pPr>
      <w:r>
        <w:rPr>
          <w:rFonts w:hint="default" w:ascii="黑体" w:hAnsi="黑体" w:eastAsia="黑体" w:cs="黑体"/>
          <w:b w:val="0"/>
          <w:bCs/>
          <w:color w:val="000000" w:themeColor="text1"/>
          <w:kern w:val="2"/>
          <w:sz w:val="32"/>
          <w:szCs w:val="32"/>
          <w:highlight w:val="none"/>
          <w:lang w:val="en-US" w:eastAsia="zh-CN" w:bidi="ar-SA"/>
          <w14:textFill>
            <w14:solidFill>
              <w14:schemeClr w14:val="tx1"/>
            </w14:solidFill>
          </w14:textFill>
        </w:rPr>
        <w:t>五、</w:t>
      </w:r>
      <w:r>
        <w:rPr>
          <w:rFonts w:hint="eastAsia" w:ascii="黑体" w:hAnsi="黑体" w:eastAsia="黑体" w:cs="黑体"/>
          <w:b w:val="0"/>
          <w:bCs/>
          <w:color w:val="000000" w:themeColor="text1"/>
          <w:kern w:val="2"/>
          <w:sz w:val="32"/>
          <w:szCs w:val="32"/>
          <w:highlight w:val="none"/>
          <w:lang w:val="en-US" w:eastAsia="zh-CN" w:bidi="ar-SA"/>
          <w14:textFill>
            <w14:solidFill>
              <w14:schemeClr w14:val="tx1"/>
            </w14:solidFill>
          </w14:textFill>
        </w:rPr>
        <w:t>服务期限</w:t>
      </w:r>
    </w:p>
    <w:p w14:paraId="09A470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t>自合同签订之日起至所有合同内容履约完成为止，具体以采购人书面通知为准。</w:t>
      </w:r>
    </w:p>
    <w:p w14:paraId="51A42DC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b w:val="0"/>
          <w:bCs/>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2"/>
          <w:sz w:val="32"/>
          <w:szCs w:val="32"/>
          <w:highlight w:val="none"/>
          <w:lang w:val="en-US" w:eastAsia="zh-CN" w:bidi="ar-SA"/>
          <w14:textFill>
            <w14:solidFill>
              <w14:schemeClr w14:val="tx1"/>
            </w14:solidFill>
          </w14:textFill>
        </w:rPr>
        <w:t>六、服务成果及验收标准</w:t>
      </w:r>
    </w:p>
    <w:p w14:paraId="1E377C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t>（一）服务成果</w:t>
      </w:r>
    </w:p>
    <w:p w14:paraId="5F814E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t>1.完成围绕至少14个技术课题的专利挖掘与布局方案建议；</w:t>
      </w:r>
    </w:p>
    <w:p w14:paraId="1E6228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t>2.按采购人书面委托数量、技术要求及时间节点，完成专利的申办；</w:t>
      </w:r>
    </w:p>
    <w:p w14:paraId="212B54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theme="minorBidi"/>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kern w:val="2"/>
          <w:sz w:val="32"/>
          <w:szCs w:val="32"/>
          <w:highlight w:val="none"/>
          <w:lang w:val="en-US" w:eastAsia="zh-CN" w:bidi="ar-SA"/>
          <w14:textFill>
            <w14:solidFill>
              <w14:schemeClr w14:val="tx1"/>
            </w14:solidFill>
          </w14:textFill>
        </w:rPr>
        <w:t>3.按进度完成审查意见的答复工作；</w:t>
      </w:r>
    </w:p>
    <w:p w14:paraId="5FDBE1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theme="minorBidi"/>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kern w:val="2"/>
          <w:sz w:val="32"/>
          <w:szCs w:val="32"/>
          <w:highlight w:val="none"/>
          <w:lang w:val="en-US" w:eastAsia="zh-CN" w:bidi="ar-SA"/>
          <w14:textFill>
            <w14:solidFill>
              <w14:schemeClr w14:val="tx1"/>
            </w14:solidFill>
          </w14:textFill>
        </w:rPr>
        <w:t>4.定期提供清晰、准确的服务进展报告。</w:t>
      </w:r>
    </w:p>
    <w:p w14:paraId="2348FCD2">
      <w:pPr>
        <w:pStyle w:val="1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spacing w:val="0"/>
          <w:kern w:val="2"/>
          <w:sz w:val="32"/>
          <w:szCs w:val="32"/>
          <w:highlight w:val="none"/>
          <w:lang w:val="en-US" w:eastAsia="zh-CN" w:bidi="ar-SA"/>
          <w14:textFill>
            <w14:solidFill>
              <w14:schemeClr w14:val="tx1"/>
            </w14:solidFill>
          </w14:textFill>
        </w:rPr>
        <w:t>（二）验收标准</w:t>
      </w:r>
    </w:p>
    <w:p w14:paraId="307EF151">
      <w:pPr>
        <w:pStyle w:val="1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 w:hAnsi="仿宋" w:eastAsia="仿宋" w:cstheme="minorBidi"/>
          <w:i w:val="0"/>
          <w:iCs w:val="0"/>
          <w:caps w:val="0"/>
          <w:color w:val="000000" w:themeColor="text1"/>
          <w:spacing w:val="0"/>
          <w:kern w:val="2"/>
          <w:sz w:val="32"/>
          <w:szCs w:val="32"/>
          <w:highlight w:val="none"/>
          <w14:textFill>
            <w14:solidFill>
              <w14:schemeClr w14:val="tx1"/>
            </w14:solidFill>
          </w14:textFill>
        </w:rPr>
      </w:pPr>
      <w:r>
        <w:rPr>
          <w:rFonts w:hint="eastAsia" w:ascii="仿宋" w:hAnsi="仿宋" w:eastAsia="仿宋" w:cstheme="minorBidi"/>
          <w:i w:val="0"/>
          <w:iCs w:val="0"/>
          <w:caps w:val="0"/>
          <w:color w:val="000000" w:themeColor="text1"/>
          <w:spacing w:val="0"/>
          <w:kern w:val="2"/>
          <w:sz w:val="32"/>
          <w:szCs w:val="32"/>
          <w:highlight w:val="none"/>
          <w14:textFill>
            <w14:solidFill>
              <w14:schemeClr w14:val="tx1"/>
            </w14:solidFill>
          </w14:textFill>
        </w:rPr>
        <w:t>采购人收到国家知识产权局针对本项目所申办专利下发的</w:t>
      </w:r>
      <w:r>
        <w:rPr>
          <w:rStyle w:val="11"/>
          <w:rFonts w:hint="eastAsia" w:ascii="仿宋" w:hAnsi="仿宋" w:eastAsia="仿宋" w:cstheme="minorBidi"/>
          <w:b w:val="0"/>
          <w:bCs/>
          <w:i w:val="0"/>
          <w:iCs w:val="0"/>
          <w:caps w:val="0"/>
          <w:color w:val="000000" w:themeColor="text1"/>
          <w:spacing w:val="0"/>
          <w:kern w:val="2"/>
          <w:sz w:val="32"/>
          <w:szCs w:val="32"/>
          <w:highlight w:val="none"/>
          <w14:textFill>
            <w14:solidFill>
              <w14:schemeClr w14:val="tx1"/>
            </w14:solidFill>
          </w14:textFill>
        </w:rPr>
        <w:t>专利授权</w:t>
      </w:r>
      <w:r>
        <w:rPr>
          <w:rStyle w:val="11"/>
          <w:rFonts w:hint="eastAsia" w:ascii="仿宋" w:hAnsi="仿宋" w:eastAsia="仿宋" w:cstheme="minorBidi"/>
          <w:b w:val="0"/>
          <w:bCs/>
          <w:i w:val="0"/>
          <w:iCs w:val="0"/>
          <w:caps w:val="0"/>
          <w:color w:val="000000" w:themeColor="text1"/>
          <w:spacing w:val="0"/>
          <w:kern w:val="2"/>
          <w:sz w:val="32"/>
          <w:szCs w:val="32"/>
          <w:highlight w:val="none"/>
          <w:lang w:val="en-US" w:eastAsia="zh-CN"/>
          <w14:textFill>
            <w14:solidFill>
              <w14:schemeClr w14:val="tx1"/>
            </w14:solidFill>
          </w14:textFill>
        </w:rPr>
        <w:t>证</w:t>
      </w:r>
      <w:r>
        <w:rPr>
          <w:rStyle w:val="11"/>
          <w:rFonts w:hint="eastAsia" w:ascii="仿宋" w:hAnsi="仿宋" w:eastAsia="仿宋" w:cstheme="minorBidi"/>
          <w:b w:val="0"/>
          <w:bCs/>
          <w:i w:val="0"/>
          <w:iCs w:val="0"/>
          <w:caps w:val="0"/>
          <w:color w:val="000000" w:themeColor="text1"/>
          <w:spacing w:val="0"/>
          <w:kern w:val="2"/>
          <w:sz w:val="32"/>
          <w:szCs w:val="32"/>
          <w:highlight w:val="none"/>
          <w14:textFill>
            <w14:solidFill>
              <w14:schemeClr w14:val="tx1"/>
            </w14:solidFill>
          </w14:textFill>
        </w:rPr>
        <w:t>书</w:t>
      </w:r>
      <w:r>
        <w:rPr>
          <w:rFonts w:hint="eastAsia" w:ascii="仿宋" w:hAnsi="仿宋" w:eastAsia="仿宋" w:cstheme="minorBidi"/>
          <w:i w:val="0"/>
          <w:iCs w:val="0"/>
          <w:caps w:val="0"/>
          <w:color w:val="000000" w:themeColor="text1"/>
          <w:spacing w:val="0"/>
          <w:kern w:val="2"/>
          <w:sz w:val="32"/>
          <w:szCs w:val="32"/>
          <w:highlight w:val="none"/>
          <w14:textFill>
            <w14:solidFill>
              <w14:schemeClr w14:val="tx1"/>
            </w14:solidFill>
          </w14:textFill>
        </w:rPr>
        <w:t>后，即视为对应专利的服务事项验收合格</w:t>
      </w:r>
      <w:r>
        <w:rPr>
          <w:rFonts w:hint="eastAsia" w:ascii="仿宋" w:hAnsi="仿宋" w:eastAsia="仿宋" w:cstheme="minorBidi"/>
          <w:i w:val="0"/>
          <w:iCs w:val="0"/>
          <w:caps w:val="0"/>
          <w:color w:val="000000" w:themeColor="text1"/>
          <w:spacing w:val="0"/>
          <w:kern w:val="2"/>
          <w:sz w:val="32"/>
          <w:szCs w:val="32"/>
          <w:highlight w:val="none"/>
          <w:lang w:eastAsia="zh-CN"/>
          <w14:textFill>
            <w14:solidFill>
              <w14:schemeClr w14:val="tx1"/>
            </w14:solidFill>
          </w14:textFill>
        </w:rPr>
        <w:t>。</w:t>
      </w:r>
    </w:p>
    <w:p w14:paraId="6D6B743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b w:val="0"/>
          <w:bCs/>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val="0"/>
          <w:bCs/>
          <w:color w:val="000000" w:themeColor="text1"/>
          <w:kern w:val="2"/>
          <w:sz w:val="32"/>
          <w:szCs w:val="32"/>
          <w:highlight w:val="none"/>
          <w:lang w:val="en-US" w:eastAsia="zh-CN" w:bidi="ar-SA"/>
          <w14:textFill>
            <w14:solidFill>
              <w14:schemeClr w14:val="tx1"/>
            </w14:solidFill>
          </w14:textFill>
        </w:rPr>
        <w:t>七、支付要求及结算方式</w:t>
      </w:r>
    </w:p>
    <w:p w14:paraId="669817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theme="minorBidi"/>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kern w:val="2"/>
          <w:sz w:val="32"/>
          <w:szCs w:val="32"/>
          <w:highlight w:val="none"/>
          <w:lang w:val="en-US" w:eastAsia="zh-CN" w:bidi="ar-SA"/>
          <w14:textFill>
            <w14:solidFill>
              <w14:schemeClr w14:val="tx1"/>
            </w14:solidFill>
          </w14:textFill>
        </w:rPr>
        <w:t>（一）合同生效后，甲方按每次申请专利件数和类型向乙方支付费用，同时乙方要出示甲方每次申请项目的所有明细。</w:t>
      </w:r>
    </w:p>
    <w:p w14:paraId="6F7BA1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theme="minorBidi"/>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kern w:val="2"/>
          <w:sz w:val="32"/>
          <w:szCs w:val="32"/>
          <w:highlight w:val="none"/>
          <w:lang w:val="en-US" w:eastAsia="zh-CN" w:bidi="ar-SA"/>
          <w14:textFill>
            <w14:solidFill>
              <w14:schemeClr w14:val="tx1"/>
            </w14:solidFill>
          </w14:textFill>
        </w:rPr>
        <w:t>（二）乙方办理合同款项支付时乙方必须根据结算金额足额，提交符合规定的经甲方认可的增值税专票。</w:t>
      </w:r>
    </w:p>
    <w:p w14:paraId="2CA45E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theme="minorBidi"/>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kern w:val="2"/>
          <w:sz w:val="32"/>
          <w:szCs w:val="32"/>
          <w:highlight w:val="none"/>
          <w:lang w:val="en-US" w:eastAsia="zh-CN" w:bidi="ar-SA"/>
          <w14:textFill>
            <w14:solidFill>
              <w14:schemeClr w14:val="tx1"/>
            </w14:solidFill>
          </w14:textFill>
        </w:rPr>
        <w:t>（三）支付方式</w:t>
      </w:r>
    </w:p>
    <w:p w14:paraId="31F7BB77">
      <w:pPr>
        <w:numPr>
          <w:ilvl w:val="0"/>
          <w:numId w:val="0"/>
        </w:numPr>
        <w:spacing w:line="560" w:lineRule="exact"/>
        <w:ind w:firstLine="640" w:firstLineChars="200"/>
        <w:outlineLvl w:val="9"/>
        <w:rPr>
          <w:rFonts w:hint="eastAsia" w:ascii="仿宋" w:hAnsi="仿宋" w:eastAsia="仿宋" w:cstheme="minorBidi"/>
          <w:bCs/>
          <w:color w:val="000000" w:themeColor="text1"/>
          <w:sz w:val="32"/>
          <w:szCs w:val="32"/>
          <w:highlight w:val="none"/>
          <w:lang w:val="en-US" w:eastAsia="zh-CN" w:bidi="ar-SA"/>
          <w14:textFill>
            <w14:solidFill>
              <w14:schemeClr w14:val="tx1"/>
            </w14:solidFill>
          </w14:textFill>
        </w:rPr>
      </w:pPr>
      <w:r>
        <w:rPr>
          <w:rFonts w:hint="eastAsia" w:ascii="仿宋" w:hAnsi="仿宋" w:eastAsia="仿宋" w:cstheme="minorBidi"/>
          <w:bCs/>
          <w:color w:val="000000" w:themeColor="text1"/>
          <w:kern w:val="2"/>
          <w:sz w:val="32"/>
          <w:szCs w:val="32"/>
          <w:highlight w:val="none"/>
          <w:lang w:val="en-US" w:eastAsia="zh-CN" w:bidi="ar-SA"/>
          <w14:textFill>
            <w14:solidFill>
              <w14:schemeClr w14:val="tx1"/>
            </w14:solidFill>
          </w14:textFill>
        </w:rPr>
        <w:t>1、</w:t>
      </w:r>
      <w:r>
        <w:rPr>
          <w:rFonts w:hint="eastAsia" w:ascii="仿宋" w:hAnsi="仿宋" w:eastAsia="仿宋" w:cstheme="minorBidi"/>
          <w:bCs/>
          <w:color w:val="000000" w:themeColor="text1"/>
          <w:sz w:val="32"/>
          <w:szCs w:val="32"/>
          <w:highlight w:val="none"/>
          <w:lang w:val="en-US" w:eastAsia="zh-CN" w:bidi="ar-SA"/>
          <w14:textFill>
            <w14:solidFill>
              <w14:schemeClr w14:val="tx1"/>
            </w14:solidFill>
          </w14:textFill>
        </w:rPr>
        <w:t>按项支付，甲方在收到提交项目由国家知识产权局下发的授权证书并收到乙方提交的经采购人认可的增值税发票等请款资料后，30天内支付给乙方当次申请服务项目的代理服务费100%。</w:t>
      </w:r>
    </w:p>
    <w:p w14:paraId="266A0CC7">
      <w:pPr>
        <w:keepNext w:val="0"/>
        <w:keepLines w:val="0"/>
        <w:pageBreakBefore w:val="0"/>
        <w:kinsoku/>
        <w:overflowPunct/>
        <w:topLinePunct w:val="0"/>
        <w:autoSpaceDE/>
        <w:autoSpaceDN/>
        <w:bidi w:val="0"/>
        <w:spacing w:beforeLines="0" w:line="560" w:lineRule="exact"/>
        <w:ind w:left="0" w:firstLine="640" w:firstLineChars="200"/>
        <w:jc w:val="both"/>
        <w:rPr>
          <w:rStyle w:val="11"/>
          <w:rFonts w:hint="eastAsia" w:ascii="Nimbus Roman No9 L" w:hAnsi="Nimbus Roman No9 L" w:cs="Nimbus Roman No9 L"/>
          <w:b w:val="0"/>
          <w:bCs/>
          <w:i w:val="0"/>
          <w:iCs w:val="0"/>
          <w:caps w:val="0"/>
          <w:color w:val="auto"/>
          <w:spacing w:val="0"/>
          <w:sz w:val="28"/>
          <w:szCs w:val="28"/>
          <w:u w:val="none"/>
          <w:shd w:val="clear"/>
          <w:lang w:eastAsia="zh-CN"/>
        </w:rPr>
      </w:pPr>
      <w:r>
        <w:rPr>
          <w:rFonts w:hint="eastAsia" w:ascii="仿宋" w:hAnsi="仿宋" w:eastAsia="仿宋" w:cstheme="minorBidi"/>
          <w:bCs/>
          <w:color w:val="000000" w:themeColor="text1"/>
          <w:sz w:val="32"/>
          <w:szCs w:val="32"/>
          <w:highlight w:val="none"/>
          <w:lang w:val="en-US" w:eastAsia="zh-CN" w:bidi="ar-SA"/>
          <w14:textFill>
            <w14:solidFill>
              <w14:schemeClr w14:val="tx1"/>
            </w14:solidFill>
          </w14:textFill>
        </w:rPr>
        <w:t>2、首年年费及官费（包括但不限于申请费、实质审</w:t>
      </w:r>
      <w:bookmarkStart w:id="0" w:name="_GoBack"/>
      <w:bookmarkEnd w:id="0"/>
      <w:r>
        <w:rPr>
          <w:rFonts w:hint="eastAsia" w:ascii="仿宋" w:hAnsi="仿宋" w:eastAsia="仿宋" w:cstheme="minorBidi"/>
          <w:bCs/>
          <w:color w:val="000000" w:themeColor="text1"/>
          <w:sz w:val="32"/>
          <w:szCs w:val="32"/>
          <w:highlight w:val="none"/>
          <w:lang w:val="en-US" w:eastAsia="zh-CN" w:bidi="ar-SA"/>
          <w14:textFill>
            <w14:solidFill>
              <w14:schemeClr w14:val="tx1"/>
            </w14:solidFill>
          </w14:textFill>
        </w:rPr>
        <w:t>查费、授权登记费等）</w:t>
      </w:r>
      <w:r>
        <w:rPr>
          <w:rFonts w:hint="eastAsia" w:ascii="仿宋" w:hAnsi="仿宋" w:eastAsia="仿宋" w:cstheme="minorBidi"/>
          <w:bCs/>
          <w:color w:val="000000" w:themeColor="text1"/>
          <w:sz w:val="32"/>
          <w:szCs w:val="32"/>
          <w:highlight w:val="none"/>
          <w:lang w:val="en-US" w:eastAsia="zh-CN"/>
          <w14:textFill>
            <w14:solidFill>
              <w14:schemeClr w14:val="tx1"/>
            </w14:solidFill>
          </w14:textFill>
        </w:rPr>
        <w:t>由</w:t>
      </w:r>
      <w:r>
        <w:rPr>
          <w:rFonts w:hint="eastAsia" w:ascii="仿宋" w:hAnsi="仿宋" w:eastAsia="仿宋" w:cstheme="minorBidi"/>
          <w:bCs/>
          <w:color w:val="000000" w:themeColor="text1"/>
          <w:sz w:val="32"/>
          <w:szCs w:val="32"/>
          <w:highlight w:val="none"/>
          <w14:textFill>
            <w14:solidFill>
              <w14:schemeClr w14:val="tx1"/>
            </w14:solidFill>
          </w14:textFill>
        </w:rPr>
        <w:t>乙方</w:t>
      </w:r>
      <w:r>
        <w:rPr>
          <w:rFonts w:hint="eastAsia" w:ascii="仿宋" w:hAnsi="仿宋" w:eastAsia="仿宋" w:cstheme="minorBidi"/>
          <w:bCs/>
          <w:color w:val="000000" w:themeColor="text1"/>
          <w:sz w:val="32"/>
          <w:szCs w:val="32"/>
          <w:highlight w:val="none"/>
          <w:lang w:val="en-US" w:eastAsia="zh-CN"/>
          <w14:textFill>
            <w14:solidFill>
              <w14:schemeClr w14:val="tx1"/>
            </w14:solidFill>
          </w14:textFill>
        </w:rPr>
        <w:t>代缴后提供根据国家知识产权局出具的官方缴费凭证及乙方缴费记录等请款资料，</w:t>
      </w:r>
      <w:r>
        <w:rPr>
          <w:rFonts w:hint="eastAsia" w:ascii="仿宋" w:hAnsi="仿宋" w:eastAsia="仿宋" w:cstheme="minorBidi"/>
          <w:bCs/>
          <w:color w:val="000000" w:themeColor="text1"/>
          <w:sz w:val="32"/>
          <w:szCs w:val="32"/>
          <w:highlight w:val="none"/>
          <w:lang w:val="en-US" w:eastAsia="zh-CN" w:bidi="ar-SA"/>
          <w14:textFill>
            <w14:solidFill>
              <w14:schemeClr w14:val="tx1"/>
            </w14:solidFill>
          </w14:textFill>
        </w:rPr>
        <w:t>审核确认无误后30天内支付给乙方当次申请服务项目年费及官费的100%。</w:t>
      </w:r>
    </w:p>
    <w:p w14:paraId="4CEF2A4B">
      <w:pPr>
        <w:keepNext w:val="0"/>
        <w:keepLines w:val="0"/>
        <w:pageBreakBefore w:val="0"/>
        <w:numPr>
          <w:ilvl w:val="0"/>
          <w:numId w:val="0"/>
        </w:numPr>
        <w:kinsoku/>
        <w:wordWrap/>
        <w:overflowPunct/>
        <w:topLinePunct w:val="0"/>
        <w:autoSpaceDE/>
        <w:autoSpaceDN/>
        <w:bidi w:val="0"/>
        <w:adjustRightInd/>
        <w:snapToGrid/>
        <w:spacing w:line="560" w:lineRule="exact"/>
        <w:ind w:left="0" w:firstLine="420" w:firstLineChars="200"/>
        <w:jc w:val="both"/>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altName w:val="Noto Serif SC"/>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4692592"/>
      <w:docPartObj>
        <w:docPartGallery w:val="autotext"/>
      </w:docPartObj>
    </w:sdtPr>
    <w:sdtContent>
      <w:p w14:paraId="34EE2CEA">
        <w:pPr>
          <w:pStyle w:val="7"/>
          <w:jc w:val="center"/>
        </w:pPr>
        <w:r>
          <w:fldChar w:fldCharType="begin"/>
        </w:r>
        <w:r>
          <w:instrText xml:space="preserve">PAGE   \* MERGEFORMAT</w:instrText>
        </w:r>
        <w:r>
          <w:fldChar w:fldCharType="separate"/>
        </w:r>
        <w:r>
          <w:rPr>
            <w:lang w:val="zh-CN"/>
          </w:rPr>
          <w:t>2</w:t>
        </w:r>
        <w:r>
          <w:fldChar w:fldCharType="end"/>
        </w:r>
      </w:p>
    </w:sdtContent>
  </w:sdt>
  <w:p w14:paraId="4A3E7AFA">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MjM3N2JkNzEzZTY4YzNkOGJiMzE0ZmY2ZGM1NTYifQ=="/>
  </w:docVars>
  <w:rsids>
    <w:rsidRoot w:val="00867826"/>
    <w:rsid w:val="0003178C"/>
    <w:rsid w:val="000732E8"/>
    <w:rsid w:val="00074988"/>
    <w:rsid w:val="000837B1"/>
    <w:rsid w:val="000966D7"/>
    <w:rsid w:val="000A51E6"/>
    <w:rsid w:val="000C20AB"/>
    <w:rsid w:val="000C7909"/>
    <w:rsid w:val="00107451"/>
    <w:rsid w:val="001421F4"/>
    <w:rsid w:val="0014540C"/>
    <w:rsid w:val="001827B5"/>
    <w:rsid w:val="00196DBD"/>
    <w:rsid w:val="0019778F"/>
    <w:rsid w:val="001E14DA"/>
    <w:rsid w:val="00226ACE"/>
    <w:rsid w:val="00276AC6"/>
    <w:rsid w:val="002E39AF"/>
    <w:rsid w:val="002E4144"/>
    <w:rsid w:val="003148A1"/>
    <w:rsid w:val="003159CF"/>
    <w:rsid w:val="00331C48"/>
    <w:rsid w:val="00355B69"/>
    <w:rsid w:val="0037548B"/>
    <w:rsid w:val="00392000"/>
    <w:rsid w:val="0039241A"/>
    <w:rsid w:val="003E2E93"/>
    <w:rsid w:val="00400961"/>
    <w:rsid w:val="004028AC"/>
    <w:rsid w:val="00473856"/>
    <w:rsid w:val="004B4841"/>
    <w:rsid w:val="005041C8"/>
    <w:rsid w:val="00522A20"/>
    <w:rsid w:val="00526E22"/>
    <w:rsid w:val="00536363"/>
    <w:rsid w:val="0057108F"/>
    <w:rsid w:val="00575534"/>
    <w:rsid w:val="005C6A55"/>
    <w:rsid w:val="005D1302"/>
    <w:rsid w:val="005D69BD"/>
    <w:rsid w:val="005E1E0C"/>
    <w:rsid w:val="00613ED6"/>
    <w:rsid w:val="00656B19"/>
    <w:rsid w:val="00672AC7"/>
    <w:rsid w:val="006A05A2"/>
    <w:rsid w:val="006B6DAF"/>
    <w:rsid w:val="006D011B"/>
    <w:rsid w:val="007231D3"/>
    <w:rsid w:val="00726D43"/>
    <w:rsid w:val="00730C4E"/>
    <w:rsid w:val="00784FE3"/>
    <w:rsid w:val="0079255F"/>
    <w:rsid w:val="007A7D59"/>
    <w:rsid w:val="007C5233"/>
    <w:rsid w:val="007C741F"/>
    <w:rsid w:val="007E2C87"/>
    <w:rsid w:val="00867826"/>
    <w:rsid w:val="00872975"/>
    <w:rsid w:val="00892720"/>
    <w:rsid w:val="008956EA"/>
    <w:rsid w:val="008E477F"/>
    <w:rsid w:val="00935B5F"/>
    <w:rsid w:val="009873AB"/>
    <w:rsid w:val="009900A8"/>
    <w:rsid w:val="00993FC5"/>
    <w:rsid w:val="009D750A"/>
    <w:rsid w:val="009D75AE"/>
    <w:rsid w:val="00A075B7"/>
    <w:rsid w:val="00A25CED"/>
    <w:rsid w:val="00A41190"/>
    <w:rsid w:val="00A47D63"/>
    <w:rsid w:val="00A50C25"/>
    <w:rsid w:val="00A50FBC"/>
    <w:rsid w:val="00A67839"/>
    <w:rsid w:val="00A96BB2"/>
    <w:rsid w:val="00AB2576"/>
    <w:rsid w:val="00AB48A7"/>
    <w:rsid w:val="00AB76DA"/>
    <w:rsid w:val="00AE547B"/>
    <w:rsid w:val="00B13CC4"/>
    <w:rsid w:val="00B375F8"/>
    <w:rsid w:val="00B41D9A"/>
    <w:rsid w:val="00BA7CC9"/>
    <w:rsid w:val="00BC7761"/>
    <w:rsid w:val="00C12D72"/>
    <w:rsid w:val="00C26C2F"/>
    <w:rsid w:val="00C30118"/>
    <w:rsid w:val="00C34B1D"/>
    <w:rsid w:val="00C43A75"/>
    <w:rsid w:val="00C52341"/>
    <w:rsid w:val="00C55581"/>
    <w:rsid w:val="00C77E49"/>
    <w:rsid w:val="00C93B35"/>
    <w:rsid w:val="00CE5578"/>
    <w:rsid w:val="00D429CD"/>
    <w:rsid w:val="00D44DC8"/>
    <w:rsid w:val="00D83650"/>
    <w:rsid w:val="00DA408E"/>
    <w:rsid w:val="00DD110C"/>
    <w:rsid w:val="00DD5F16"/>
    <w:rsid w:val="00DE510F"/>
    <w:rsid w:val="00E10A7B"/>
    <w:rsid w:val="00E17266"/>
    <w:rsid w:val="00E33495"/>
    <w:rsid w:val="00E4522D"/>
    <w:rsid w:val="00E54880"/>
    <w:rsid w:val="00E55011"/>
    <w:rsid w:val="00E61FFF"/>
    <w:rsid w:val="00E64456"/>
    <w:rsid w:val="00E65BB8"/>
    <w:rsid w:val="00E74CED"/>
    <w:rsid w:val="00E8448A"/>
    <w:rsid w:val="00E93672"/>
    <w:rsid w:val="00E957CA"/>
    <w:rsid w:val="00EA4F80"/>
    <w:rsid w:val="00F20C1E"/>
    <w:rsid w:val="00F51059"/>
    <w:rsid w:val="00F63939"/>
    <w:rsid w:val="00FB30C1"/>
    <w:rsid w:val="00FD511F"/>
    <w:rsid w:val="00FE1656"/>
    <w:rsid w:val="01C27F12"/>
    <w:rsid w:val="04F617A8"/>
    <w:rsid w:val="09272843"/>
    <w:rsid w:val="0C30370B"/>
    <w:rsid w:val="0E150FC5"/>
    <w:rsid w:val="0E2C155C"/>
    <w:rsid w:val="0E931AA8"/>
    <w:rsid w:val="12682746"/>
    <w:rsid w:val="12C2207A"/>
    <w:rsid w:val="16C759ED"/>
    <w:rsid w:val="1795113C"/>
    <w:rsid w:val="187C7BCD"/>
    <w:rsid w:val="19EF29BF"/>
    <w:rsid w:val="1E1E4647"/>
    <w:rsid w:val="263E5352"/>
    <w:rsid w:val="268A64FE"/>
    <w:rsid w:val="2871398F"/>
    <w:rsid w:val="29BA17FC"/>
    <w:rsid w:val="29CA0B3F"/>
    <w:rsid w:val="2C803B90"/>
    <w:rsid w:val="2E7A5464"/>
    <w:rsid w:val="31EE38BA"/>
    <w:rsid w:val="3253717F"/>
    <w:rsid w:val="326A59BD"/>
    <w:rsid w:val="32E95D13"/>
    <w:rsid w:val="33003139"/>
    <w:rsid w:val="3385405C"/>
    <w:rsid w:val="36722D63"/>
    <w:rsid w:val="38AA49B8"/>
    <w:rsid w:val="38FB21E0"/>
    <w:rsid w:val="393D0C0B"/>
    <w:rsid w:val="39DB79A1"/>
    <w:rsid w:val="3C5D6378"/>
    <w:rsid w:val="3D7725E5"/>
    <w:rsid w:val="3EB26AE9"/>
    <w:rsid w:val="401A6697"/>
    <w:rsid w:val="40E12DF5"/>
    <w:rsid w:val="40EF0C82"/>
    <w:rsid w:val="42B33149"/>
    <w:rsid w:val="451B6881"/>
    <w:rsid w:val="473F248B"/>
    <w:rsid w:val="49A4152C"/>
    <w:rsid w:val="4B892947"/>
    <w:rsid w:val="4BEB1EA8"/>
    <w:rsid w:val="4C54668C"/>
    <w:rsid w:val="4C56394D"/>
    <w:rsid w:val="51034CF5"/>
    <w:rsid w:val="51E028FC"/>
    <w:rsid w:val="523E5C56"/>
    <w:rsid w:val="53FC7FDB"/>
    <w:rsid w:val="53FE3AB7"/>
    <w:rsid w:val="543E7A04"/>
    <w:rsid w:val="55733E6B"/>
    <w:rsid w:val="58641614"/>
    <w:rsid w:val="59043879"/>
    <w:rsid w:val="5B57329D"/>
    <w:rsid w:val="5C1F34FF"/>
    <w:rsid w:val="5CAC5835"/>
    <w:rsid w:val="60631DA4"/>
    <w:rsid w:val="62106F85"/>
    <w:rsid w:val="63EB5DEC"/>
    <w:rsid w:val="64543812"/>
    <w:rsid w:val="657172EE"/>
    <w:rsid w:val="65841E81"/>
    <w:rsid w:val="65B879F2"/>
    <w:rsid w:val="67A5459D"/>
    <w:rsid w:val="68BE690D"/>
    <w:rsid w:val="6A1E6AE7"/>
    <w:rsid w:val="6C9951EF"/>
    <w:rsid w:val="6F825B12"/>
    <w:rsid w:val="6F840A58"/>
    <w:rsid w:val="72BD352D"/>
    <w:rsid w:val="74A4256B"/>
    <w:rsid w:val="753F7EF0"/>
    <w:rsid w:val="76263A64"/>
    <w:rsid w:val="765C41A2"/>
    <w:rsid w:val="7694753D"/>
    <w:rsid w:val="77537E7D"/>
    <w:rsid w:val="79EF0862"/>
    <w:rsid w:val="7B3C2E94"/>
    <w:rsid w:val="7C02609E"/>
    <w:rsid w:val="7E637A2F"/>
    <w:rsid w:val="7EB51CFD"/>
    <w:rsid w:val="7FBB56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8"/>
    <w:qFormat/>
    <w:uiPriority w:val="0"/>
    <w:pPr>
      <w:keepNext/>
      <w:keepLines/>
      <w:spacing w:before="240" w:after="120" w:line="360" w:lineRule="auto"/>
      <w:outlineLvl w:val="1"/>
    </w:pPr>
    <w:rPr>
      <w:rFonts w:ascii="Arial" w:hAnsi="Arial" w:eastAsia="黑体" w:cs="Times New Roman"/>
      <w:bCs/>
      <w:sz w:val="28"/>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link w:val="21"/>
    <w:semiHidden/>
    <w:unhideWhenUsed/>
    <w:qFormat/>
    <w:uiPriority w:val="99"/>
    <w:pPr>
      <w:jc w:val="left"/>
    </w:pPr>
  </w:style>
  <w:style w:type="paragraph" w:styleId="5">
    <w:name w:val="Body Text Indent"/>
    <w:basedOn w:val="1"/>
    <w:link w:val="19"/>
    <w:qFormat/>
    <w:uiPriority w:val="0"/>
    <w:pPr>
      <w:spacing w:line="360" w:lineRule="auto"/>
      <w:ind w:firstLine="540" w:firstLineChars="225"/>
    </w:pPr>
    <w:rPr>
      <w:rFonts w:ascii="Times New Roman" w:hAnsi="Times New Roman" w:eastAsia="宋体" w:cs="Times New Roman"/>
      <w:sz w:val="24"/>
      <w:szCs w:val="24"/>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semiHidden/>
    <w:unhideWhenUsed/>
    <w:qFormat/>
    <w:uiPriority w:val="99"/>
    <w:rPr>
      <w:b/>
      <w:bCs/>
    </w:rPr>
  </w:style>
  <w:style w:type="character" w:styleId="12">
    <w:name w:val="Strong"/>
    <w:basedOn w:val="11"/>
    <w:qFormat/>
    <w:uiPriority w:val="22"/>
    <w:rPr>
      <w:b/>
    </w:rPr>
  </w:style>
  <w:style w:type="character" w:styleId="13">
    <w:name w:val="annotation reference"/>
    <w:basedOn w:val="11"/>
    <w:semiHidden/>
    <w:unhideWhenUsed/>
    <w:qFormat/>
    <w:uiPriority w:val="99"/>
    <w:rPr>
      <w:sz w:val="21"/>
      <w:szCs w:val="21"/>
    </w:rPr>
  </w:style>
  <w:style w:type="paragraph" w:customStyle="1" w:styleId="14">
    <w:name w:val="表格文字"/>
    <w:basedOn w:val="1"/>
    <w:qFormat/>
    <w:uiPriority w:val="0"/>
    <w:pPr>
      <w:spacing w:before="25" w:after="25"/>
      <w:jc w:val="left"/>
    </w:pPr>
    <w:rPr>
      <w:bCs/>
      <w:spacing w:val="10"/>
      <w:kern w:val="0"/>
      <w:sz w:val="24"/>
    </w:rPr>
  </w:style>
  <w:style w:type="character" w:customStyle="1" w:styleId="15">
    <w:name w:val="页眉 字符"/>
    <w:basedOn w:val="11"/>
    <w:link w:val="8"/>
    <w:qFormat/>
    <w:uiPriority w:val="99"/>
    <w:rPr>
      <w:sz w:val="18"/>
      <w:szCs w:val="18"/>
    </w:rPr>
  </w:style>
  <w:style w:type="character" w:customStyle="1" w:styleId="16">
    <w:name w:val="页脚 字符"/>
    <w:basedOn w:val="11"/>
    <w:link w:val="7"/>
    <w:qFormat/>
    <w:uiPriority w:val="99"/>
    <w:rPr>
      <w:sz w:val="18"/>
      <w:szCs w:val="18"/>
    </w:rPr>
  </w:style>
  <w:style w:type="paragraph" w:styleId="17">
    <w:name w:val="List Paragraph"/>
    <w:basedOn w:val="1"/>
    <w:qFormat/>
    <w:uiPriority w:val="34"/>
    <w:pPr>
      <w:ind w:firstLine="420" w:firstLineChars="200"/>
    </w:pPr>
    <w:rPr>
      <w:rFonts w:asciiTheme="minorAscii" w:hAnsiTheme="minorAscii"/>
    </w:rPr>
  </w:style>
  <w:style w:type="character" w:customStyle="1" w:styleId="18">
    <w:name w:val="标题 2 字符"/>
    <w:basedOn w:val="11"/>
    <w:link w:val="3"/>
    <w:qFormat/>
    <w:uiPriority w:val="0"/>
    <w:rPr>
      <w:rFonts w:ascii="Arial" w:hAnsi="Arial" w:eastAsia="黑体" w:cs="Times New Roman"/>
      <w:bCs/>
      <w:sz w:val="28"/>
      <w:szCs w:val="32"/>
    </w:rPr>
  </w:style>
  <w:style w:type="character" w:customStyle="1" w:styleId="19">
    <w:name w:val="正文文本缩进 字符"/>
    <w:basedOn w:val="11"/>
    <w:link w:val="5"/>
    <w:qFormat/>
    <w:uiPriority w:val="0"/>
    <w:rPr>
      <w:rFonts w:ascii="Times New Roman" w:hAnsi="Times New Roman" w:eastAsia="宋体" w:cs="Times New Roman"/>
      <w:sz w:val="24"/>
      <w:szCs w:val="24"/>
    </w:rPr>
  </w:style>
  <w:style w:type="character" w:customStyle="1" w:styleId="20">
    <w:name w:val="批注框文本 字符"/>
    <w:basedOn w:val="11"/>
    <w:link w:val="6"/>
    <w:semiHidden/>
    <w:qFormat/>
    <w:uiPriority w:val="99"/>
    <w:rPr>
      <w:rFonts w:asciiTheme="minorHAnsi" w:hAnsiTheme="minorHAnsi" w:eastAsiaTheme="minorEastAsia" w:cstheme="minorBidi"/>
      <w:kern w:val="2"/>
      <w:sz w:val="18"/>
      <w:szCs w:val="18"/>
    </w:rPr>
  </w:style>
  <w:style w:type="character" w:customStyle="1" w:styleId="21">
    <w:name w:val="批注文字 字符"/>
    <w:basedOn w:val="11"/>
    <w:link w:val="4"/>
    <w:semiHidden/>
    <w:qFormat/>
    <w:uiPriority w:val="99"/>
    <w:rPr>
      <w:rFonts w:asciiTheme="minorHAnsi" w:hAnsiTheme="minorHAnsi" w:eastAsiaTheme="minorEastAsia" w:cstheme="minorBidi"/>
      <w:kern w:val="2"/>
      <w:sz w:val="21"/>
      <w:szCs w:val="22"/>
    </w:rPr>
  </w:style>
  <w:style w:type="character" w:customStyle="1" w:styleId="22">
    <w:name w:val="批注主题 字符"/>
    <w:basedOn w:val="21"/>
    <w:link w:val="9"/>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1460</Words>
  <Characters>1489</Characters>
  <Lines>8</Lines>
  <Paragraphs>2</Paragraphs>
  <TotalTime>0</TotalTime>
  <ScaleCrop>false</ScaleCrop>
  <LinksUpToDate>false</LinksUpToDate>
  <CharactersWithSpaces>1489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2019-11-20T01:43:00Z</dcterms:created>
  <dc:creator>张红(拟稿)</dc:creator>
  <cp:lastModifiedBy>丶逍翛</cp:lastModifiedBy>
  <cp:lastPrinted>2021-10-29T07:42:00Z</cp:lastPrinted>
  <dcterms:modified xsi:type="dcterms:W3CDTF">2026-01-26T03:57:17Z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17A3FC6E1AAA435FA2570CDF5B23E07B_13</vt:lpwstr>
  </property>
  <property fmtid="{D5CDD505-2E9C-101B-9397-08002B2CF9AE}" pid="4" name="KSOTemplateDocerSaveRecord">
    <vt:lpwstr>eyJoZGlkIjoiMmFiMjc5NTI1MWZkZDYzYTQzM2ZhYzVlYTcyNWQxZGEiLCJ1c2VySWQiOiIxMTIxODE5MjM4In0=</vt:lpwstr>
  </property>
</Properties>
</file>