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8AF58">
      <w:pPr>
        <w:keepNext w:val="0"/>
        <w:keepLines w:val="0"/>
        <w:pageBreakBefore w:val="0"/>
        <w:widowControl w:val="0"/>
        <w:kinsoku/>
        <w:wordWrap/>
        <w:overflowPunct/>
        <w:topLinePunct w:val="0"/>
        <w:autoSpaceDE/>
        <w:autoSpaceDN/>
        <w:bidi w:val="0"/>
        <w:adjustRightInd/>
        <w:snapToGrid/>
        <w:spacing w:before="313" w:beforeLines="100" w:after="469" w:afterLines="150" w:line="560" w:lineRule="exact"/>
        <w:ind w:left="0" w:leftChars="0" w:firstLine="0" w:firstLineChars="0"/>
        <w:jc w:val="center"/>
        <w:textAlignment w:val="auto"/>
        <w:rPr>
          <w:rFonts w:hint="eastAsia" w:asciiTheme="majorEastAsia" w:hAnsiTheme="majorEastAsia" w:eastAsiaTheme="majorEastAsia" w:cstheme="majorEastAsia"/>
          <w:b/>
          <w:bCs w:val="0"/>
          <w:sz w:val="44"/>
          <w:szCs w:val="44"/>
          <w:lang w:val="en-US" w:eastAsia="zh-CN"/>
        </w:rPr>
      </w:pPr>
      <w:r>
        <w:rPr>
          <w:rFonts w:hint="eastAsia" w:asciiTheme="majorEastAsia" w:hAnsiTheme="majorEastAsia" w:eastAsiaTheme="majorEastAsia" w:cstheme="majorEastAsia"/>
          <w:b/>
          <w:bCs w:val="0"/>
          <w:sz w:val="44"/>
          <w:szCs w:val="44"/>
          <w:lang w:val="en-US" w:eastAsia="zh-CN"/>
        </w:rPr>
        <w:t>广东长正建设有限公司2025年度研发费用加计扣除鉴定及2026年研发费用咨询服务采购需求书</w:t>
      </w:r>
    </w:p>
    <w:p w14:paraId="643DC348">
      <w:pPr>
        <w:pStyle w:val="2"/>
        <w:pageBreakBefore w:val="0"/>
        <w:widowControl w:val="0"/>
        <w:kinsoku/>
        <w:wordWrap/>
        <w:overflowPunct/>
        <w:topLinePunct w:val="0"/>
        <w:autoSpaceDE/>
        <w:autoSpaceDN/>
        <w:bidi w:val="0"/>
        <w:spacing w:line="312" w:lineRule="auto"/>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采购项目名称</w:t>
      </w:r>
    </w:p>
    <w:p w14:paraId="463C2E32">
      <w:pPr>
        <w:pageBreakBefore w:val="0"/>
        <w:widowControl w:val="0"/>
        <w:kinsoku/>
        <w:wordWrap/>
        <w:overflowPunct/>
        <w:topLinePunct w:val="0"/>
        <w:autoSpaceDE/>
        <w:autoSpaceDN/>
        <w:bidi w:val="0"/>
        <w:spacing w:line="312" w:lineRule="auto"/>
        <w:textAlignment w:val="auto"/>
        <w:rPr>
          <w:rFonts w:hint="default" w:ascii="仿宋_GB2312" w:hAnsi="仿宋_GB2312" w:eastAsia="仿宋_GB2312" w:cs="仿宋_GB2312"/>
          <w:szCs w:val="32"/>
          <w:highlight w:val="none"/>
          <w:lang w:val="en-US" w:eastAsia="zh-CN"/>
        </w:rPr>
      </w:pPr>
      <w:r>
        <w:rPr>
          <w:rFonts w:hint="eastAsia"/>
          <w:lang w:val="en-US" w:eastAsia="zh-CN"/>
        </w:rPr>
        <w:t>广东长正建设有限公司2025年度研发费用加计扣除鉴定及2026年研发费用咨询服务。</w:t>
      </w:r>
    </w:p>
    <w:p w14:paraId="4E44FC50">
      <w:pPr>
        <w:pStyle w:val="2"/>
        <w:pageBreakBefore w:val="0"/>
        <w:widowControl w:val="0"/>
        <w:numPr>
          <w:ilvl w:val="0"/>
          <w:numId w:val="1"/>
        </w:numPr>
        <w:kinsoku/>
        <w:wordWrap/>
        <w:overflowPunct/>
        <w:topLinePunct w:val="0"/>
        <w:autoSpaceDE/>
        <w:autoSpaceDN/>
        <w:bidi w:val="0"/>
        <w:spacing w:line="312" w:lineRule="auto"/>
        <w:textAlignment w:val="auto"/>
        <w:rPr>
          <w:rFonts w:hint="eastAsia"/>
          <w:lang w:val="en-US" w:eastAsia="zh-CN"/>
        </w:rPr>
      </w:pPr>
      <w:r>
        <w:rPr>
          <w:rFonts w:hint="eastAsia"/>
          <w:lang w:val="en-US" w:eastAsia="zh-CN"/>
        </w:rPr>
        <w:t>项目概括</w:t>
      </w:r>
    </w:p>
    <w:p w14:paraId="1294FB4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lang w:val="en-US" w:eastAsia="zh-CN"/>
        </w:rPr>
      </w:pPr>
      <w:r>
        <w:rPr>
          <w:rFonts w:hint="eastAsia"/>
          <w:lang w:val="en-US" w:eastAsia="zh-CN"/>
        </w:rPr>
        <w:t>公司研发费用加计扣除中的年度研发计划及预算、立项决议、科技人员编制、科技报告验收、决算报告等证明材料，以及研发费的归集、辅助账汇总等表单材料，需要专业咨询机构协助完成，从而保证研发费用加计扣除符合国家、省、市政策要求，以完成相关工作。拟从熟悉上述项目业务的供应商中采购一家开展咨询服务工作。</w:t>
      </w:r>
    </w:p>
    <w:p w14:paraId="75468D54">
      <w:pPr>
        <w:pStyle w:val="2"/>
        <w:pageBreakBefore w:val="0"/>
        <w:widowControl w:val="0"/>
        <w:kinsoku/>
        <w:wordWrap/>
        <w:overflowPunct/>
        <w:topLinePunct w:val="0"/>
        <w:autoSpaceDE/>
        <w:autoSpaceDN/>
        <w:bidi w:val="0"/>
        <w:spacing w:line="312" w:lineRule="auto"/>
        <w:textAlignment w:val="auto"/>
        <w:rPr>
          <w:rFonts w:hint="eastAsia"/>
          <w:lang w:val="en-US" w:eastAsia="zh-CN"/>
        </w:rPr>
      </w:pPr>
      <w:r>
        <w:rPr>
          <w:rFonts w:hint="eastAsia"/>
          <w:lang w:val="en-US" w:eastAsia="zh-CN"/>
        </w:rPr>
        <w:t>三、服务</w:t>
      </w:r>
      <w:r>
        <w:rPr>
          <w:rFonts w:hint="eastAsia"/>
        </w:rPr>
        <w:t>事项内容</w:t>
      </w:r>
      <w:r>
        <w:rPr>
          <w:rFonts w:hint="eastAsia"/>
          <w:lang w:val="en-US" w:eastAsia="zh-CN"/>
        </w:rPr>
        <w:t>及要求（包括但不限于以下内容）</w:t>
      </w:r>
    </w:p>
    <w:p w14:paraId="0023F6C8">
      <w:pPr>
        <w:pStyle w:val="3"/>
        <w:pageBreakBefore w:val="0"/>
        <w:widowControl w:val="0"/>
        <w:kinsoku/>
        <w:wordWrap/>
        <w:overflowPunct/>
        <w:topLinePunct w:val="0"/>
        <w:autoSpaceDE/>
        <w:autoSpaceDN/>
        <w:bidi w:val="0"/>
        <w:spacing w:line="312" w:lineRule="auto"/>
        <w:textAlignment w:val="auto"/>
        <w:rPr>
          <w:rFonts w:hint="eastAsia"/>
          <w:lang w:val="en-US" w:eastAsia="zh-CN"/>
        </w:rPr>
      </w:pPr>
      <w:r>
        <w:rPr>
          <w:rFonts w:hint="eastAsia"/>
          <w:lang w:val="en-US" w:eastAsia="zh-CN"/>
        </w:rPr>
        <w:t>（一）服务内容</w:t>
      </w:r>
    </w:p>
    <w:p w14:paraId="3839254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lang w:val="en-US" w:eastAsia="zh-CN"/>
        </w:rPr>
      </w:pPr>
      <w:r>
        <w:rPr>
          <w:rFonts w:hint="eastAsia"/>
          <w:lang w:val="en-US" w:eastAsia="zh-CN"/>
        </w:rPr>
        <w:t>1.辅助企业按自主研发方式，完善年度研发计划及预算、立项决议书、科技人员编制、科技验收报告、结题书等研发活动证明材料。</w:t>
      </w:r>
    </w:p>
    <w:p w14:paraId="6095FC6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lang w:val="en-US" w:eastAsia="zh-CN"/>
        </w:rPr>
      </w:pPr>
      <w:r>
        <w:rPr>
          <w:rFonts w:hint="eastAsia"/>
          <w:lang w:val="en-US" w:eastAsia="zh-CN"/>
        </w:rPr>
        <w:t>2.辅助企业填报《研发支出辅助账汇总表》和《研发项目可加计扣除研发费用归集表》，审核确认研发加计费用。</w:t>
      </w:r>
    </w:p>
    <w:p w14:paraId="1FDEACF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lang w:val="en-US" w:eastAsia="zh-CN"/>
        </w:rPr>
      </w:pPr>
      <w:r>
        <w:rPr>
          <w:rFonts w:hint="eastAsia"/>
          <w:lang w:val="en-US" w:eastAsia="zh-CN"/>
        </w:rPr>
        <w:t>3.辅助企业依据研发项目产出成果并收集成果证明材料，包括但不限于技术应用报告、应用证明等成果资料。</w:t>
      </w:r>
    </w:p>
    <w:p w14:paraId="5EDCBF2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lang w:val="en-US" w:eastAsia="zh-CN"/>
        </w:rPr>
      </w:pPr>
      <w:r>
        <w:rPr>
          <w:rFonts w:hint="eastAsia"/>
          <w:lang w:val="en-US" w:eastAsia="zh-CN"/>
        </w:rPr>
        <w:t>4.核实企业报税时填写的加计扣除数据情况，确保填写无误。</w:t>
      </w:r>
    </w:p>
    <w:p w14:paraId="5D6FA54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lang w:val="en-US" w:eastAsia="zh-CN"/>
        </w:rPr>
      </w:pPr>
      <w:r>
        <w:rPr>
          <w:rFonts w:hint="eastAsia"/>
          <w:lang w:val="en-US" w:eastAsia="zh-CN"/>
        </w:rPr>
        <w:t>5.详见咨询服务清单。</w:t>
      </w:r>
    </w:p>
    <w:p w14:paraId="53A219B6">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sz w:val="24"/>
        </w:rPr>
      </w:pPr>
      <w:r>
        <w:rPr>
          <w:rFonts w:hint="eastAsia" w:ascii="仿宋" w:hAnsi="仿宋" w:eastAsia="仿宋" w:cs="仿宋"/>
          <w:sz w:val="24"/>
        </w:rPr>
        <w:t>咨询服务清单</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7707"/>
      </w:tblGrid>
      <w:tr w14:paraId="60C7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2EEBCC7D">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仿宋" w:hAnsi="仿宋" w:eastAsia="仿宋" w:cs="仿宋"/>
                <w:sz w:val="22"/>
                <w:szCs w:val="22"/>
              </w:rPr>
            </w:pPr>
            <w:r>
              <w:rPr>
                <w:rFonts w:hint="eastAsia" w:ascii="仿宋" w:hAnsi="仿宋" w:eastAsia="仿宋" w:cs="仿宋"/>
                <w:sz w:val="22"/>
                <w:szCs w:val="22"/>
              </w:rPr>
              <w:t>序号</w:t>
            </w:r>
          </w:p>
        </w:tc>
        <w:tc>
          <w:tcPr>
            <w:tcW w:w="4521" w:type="pct"/>
            <w:noWrap w:val="0"/>
            <w:vAlign w:val="center"/>
          </w:tcPr>
          <w:p w14:paraId="2B17230E">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仿宋" w:hAnsi="仿宋" w:eastAsia="仿宋" w:cs="仿宋"/>
                <w:sz w:val="22"/>
                <w:szCs w:val="22"/>
              </w:rPr>
            </w:pPr>
            <w:r>
              <w:rPr>
                <w:rFonts w:hint="eastAsia" w:ascii="仿宋" w:hAnsi="仿宋" w:eastAsia="仿宋" w:cs="仿宋"/>
                <w:sz w:val="22"/>
                <w:szCs w:val="22"/>
              </w:rPr>
              <w:t>服务事项</w:t>
            </w:r>
          </w:p>
        </w:tc>
      </w:tr>
      <w:tr w14:paraId="406E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23E8B1E6">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仿宋" w:hAnsi="仿宋" w:eastAsia="仿宋" w:cs="仿宋"/>
                <w:sz w:val="22"/>
                <w:szCs w:val="22"/>
                <w:lang w:val="en-US" w:eastAsia="zh-CN"/>
              </w:rPr>
            </w:pPr>
            <w:r>
              <w:rPr>
                <w:rFonts w:hint="eastAsia" w:cs="仿宋"/>
                <w:sz w:val="22"/>
                <w:szCs w:val="22"/>
                <w:lang w:val="en-US" w:eastAsia="zh-CN"/>
              </w:rPr>
              <w:t>1</w:t>
            </w:r>
          </w:p>
        </w:tc>
        <w:tc>
          <w:tcPr>
            <w:tcW w:w="4521" w:type="pct"/>
            <w:noWrap w:val="0"/>
            <w:vAlign w:val="center"/>
          </w:tcPr>
          <w:p w14:paraId="429B69C7">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default" w:ascii="仿宋" w:hAnsi="仿宋" w:eastAsia="仿宋" w:cs="仿宋"/>
                <w:sz w:val="22"/>
                <w:szCs w:val="22"/>
                <w:lang w:val="en-US" w:eastAsia="zh-CN"/>
              </w:rPr>
            </w:pPr>
            <w:r>
              <w:rPr>
                <w:rFonts w:hint="eastAsia" w:cs="仿宋"/>
                <w:sz w:val="22"/>
                <w:szCs w:val="22"/>
                <w:lang w:val="en-US" w:eastAsia="zh-CN"/>
              </w:rPr>
              <w:t>完成2025年度研发费加计扣除相关的技术资料、成果资料、研发费用等审核与修改</w:t>
            </w:r>
          </w:p>
        </w:tc>
      </w:tr>
      <w:tr w14:paraId="2A65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4E92F903">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仿宋" w:hAnsi="仿宋" w:eastAsia="仿宋" w:cs="仿宋"/>
                <w:sz w:val="22"/>
                <w:szCs w:val="22"/>
                <w:lang w:val="en-US" w:eastAsia="zh-CN"/>
              </w:rPr>
            </w:pPr>
            <w:r>
              <w:rPr>
                <w:rFonts w:hint="eastAsia" w:cs="仿宋"/>
                <w:sz w:val="22"/>
                <w:szCs w:val="22"/>
                <w:lang w:val="en-US" w:eastAsia="zh-CN"/>
              </w:rPr>
              <w:t>2</w:t>
            </w:r>
          </w:p>
        </w:tc>
        <w:tc>
          <w:tcPr>
            <w:tcW w:w="4521" w:type="pct"/>
            <w:noWrap w:val="0"/>
            <w:vAlign w:val="center"/>
          </w:tcPr>
          <w:p w14:paraId="21EC1D43">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审核</w:t>
            </w:r>
            <w:r>
              <w:rPr>
                <w:rFonts w:hint="eastAsia" w:ascii="仿宋" w:hAnsi="仿宋" w:eastAsia="仿宋" w:cs="仿宋"/>
                <w:sz w:val="22"/>
                <w:szCs w:val="22"/>
              </w:rPr>
              <w:t>公司所提供的</w:t>
            </w:r>
            <w:r>
              <w:rPr>
                <w:rFonts w:hint="eastAsia" w:cs="仿宋"/>
                <w:sz w:val="22"/>
                <w:szCs w:val="22"/>
                <w:lang w:val="en-US" w:eastAsia="zh-CN"/>
              </w:rPr>
              <w:t>2025年度立项课题</w:t>
            </w:r>
            <w:r>
              <w:rPr>
                <w:rFonts w:hint="eastAsia" w:ascii="仿宋" w:hAnsi="仿宋" w:eastAsia="仿宋" w:cs="仿宋"/>
                <w:sz w:val="22"/>
                <w:szCs w:val="22"/>
              </w:rPr>
              <w:t>项目名称、项目参与人员的合理性</w:t>
            </w:r>
            <w:r>
              <w:rPr>
                <w:rFonts w:hint="eastAsia" w:cs="仿宋"/>
                <w:sz w:val="22"/>
                <w:szCs w:val="22"/>
                <w:lang w:eastAsia="zh-CN"/>
              </w:rPr>
              <w:t>，</w:t>
            </w:r>
            <w:r>
              <w:rPr>
                <w:rFonts w:hint="eastAsia" w:ascii="仿宋" w:hAnsi="仿宋" w:eastAsia="仿宋" w:cs="仿宋"/>
                <w:sz w:val="22"/>
                <w:szCs w:val="22"/>
              </w:rPr>
              <w:t>指导并修改完善企业科研立项</w:t>
            </w:r>
            <w:r>
              <w:rPr>
                <w:rFonts w:hint="eastAsia" w:cs="仿宋"/>
                <w:sz w:val="22"/>
                <w:szCs w:val="22"/>
                <w:lang w:val="en-US" w:eastAsia="zh-CN"/>
              </w:rPr>
              <w:t>、中期、结题等内容</w:t>
            </w:r>
          </w:p>
        </w:tc>
      </w:tr>
      <w:tr w14:paraId="5ADD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1C62ABA1">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仿宋" w:hAnsi="仿宋" w:eastAsia="仿宋" w:cs="仿宋"/>
                <w:sz w:val="22"/>
                <w:szCs w:val="22"/>
                <w:lang w:val="en-US" w:eastAsia="zh-CN"/>
              </w:rPr>
            </w:pPr>
            <w:r>
              <w:rPr>
                <w:rFonts w:hint="eastAsia" w:cs="仿宋"/>
                <w:sz w:val="22"/>
                <w:szCs w:val="22"/>
                <w:lang w:val="en-US" w:eastAsia="zh-CN"/>
              </w:rPr>
              <w:t>3</w:t>
            </w:r>
          </w:p>
        </w:tc>
        <w:tc>
          <w:tcPr>
            <w:tcW w:w="4521" w:type="pct"/>
            <w:noWrap w:val="0"/>
            <w:vAlign w:val="center"/>
          </w:tcPr>
          <w:p w14:paraId="58DD9AD5">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仿宋" w:hAnsi="仿宋" w:eastAsia="仿宋" w:cs="仿宋"/>
                <w:sz w:val="22"/>
                <w:szCs w:val="22"/>
                <w:lang w:val="en-US" w:eastAsia="zh-CN"/>
              </w:rPr>
            </w:pPr>
            <w:r>
              <w:rPr>
                <w:rFonts w:hint="eastAsia" w:cs="仿宋"/>
                <w:sz w:val="22"/>
                <w:szCs w:val="22"/>
                <w:lang w:eastAsia="zh-CN"/>
              </w:rPr>
              <w:t>指导或协助</w:t>
            </w:r>
            <w:r>
              <w:rPr>
                <w:rFonts w:hint="eastAsia" w:cs="仿宋"/>
                <w:sz w:val="22"/>
                <w:szCs w:val="22"/>
                <w:lang w:val="en-US" w:eastAsia="zh-CN"/>
              </w:rPr>
              <w:t>企业</w:t>
            </w:r>
            <w:r>
              <w:rPr>
                <w:rFonts w:hint="eastAsia" w:cs="仿宋"/>
                <w:sz w:val="22"/>
                <w:szCs w:val="22"/>
                <w:lang w:eastAsia="zh-CN"/>
              </w:rPr>
              <w:t>完成</w:t>
            </w:r>
            <w:r>
              <w:rPr>
                <w:rFonts w:hint="eastAsia" w:cs="仿宋"/>
                <w:sz w:val="22"/>
                <w:szCs w:val="22"/>
                <w:lang w:val="en-US" w:eastAsia="zh-CN"/>
              </w:rPr>
              <w:t>2025年度</w:t>
            </w:r>
            <w:r>
              <w:rPr>
                <w:rFonts w:hint="eastAsia" w:cs="仿宋"/>
                <w:sz w:val="22"/>
                <w:szCs w:val="22"/>
                <w:lang w:eastAsia="zh-CN"/>
              </w:rPr>
              <w:t>项目成果收集，审核</w:t>
            </w:r>
            <w:r>
              <w:rPr>
                <w:rFonts w:hint="eastAsia" w:cs="仿宋"/>
                <w:sz w:val="22"/>
                <w:szCs w:val="22"/>
                <w:lang w:val="en-US" w:eastAsia="zh-CN"/>
              </w:rPr>
              <w:t>并修改</w:t>
            </w:r>
            <w:r>
              <w:rPr>
                <w:rFonts w:hint="eastAsia" w:cs="仿宋"/>
                <w:sz w:val="22"/>
                <w:szCs w:val="22"/>
                <w:lang w:eastAsia="zh-CN"/>
              </w:rPr>
              <w:t>提供的材料，</w:t>
            </w:r>
            <w:r>
              <w:rPr>
                <w:rFonts w:hint="eastAsia" w:cs="仿宋"/>
                <w:sz w:val="22"/>
                <w:szCs w:val="22"/>
                <w:lang w:val="en-US" w:eastAsia="zh-CN"/>
              </w:rPr>
              <w:t>完成</w:t>
            </w:r>
            <w:r>
              <w:rPr>
                <w:rFonts w:hint="eastAsia" w:cs="仿宋"/>
                <w:sz w:val="22"/>
                <w:szCs w:val="22"/>
                <w:lang w:eastAsia="zh-CN"/>
              </w:rPr>
              <w:t>材料整合</w:t>
            </w:r>
          </w:p>
        </w:tc>
      </w:tr>
      <w:tr w14:paraId="65AE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3C860398">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仿宋" w:hAnsi="仿宋" w:eastAsia="仿宋" w:cs="仿宋"/>
                <w:sz w:val="22"/>
                <w:szCs w:val="22"/>
                <w:lang w:val="en-US" w:eastAsia="zh-CN"/>
              </w:rPr>
            </w:pPr>
            <w:r>
              <w:rPr>
                <w:rFonts w:hint="eastAsia" w:cs="仿宋"/>
                <w:sz w:val="22"/>
                <w:szCs w:val="22"/>
                <w:lang w:val="en-US" w:eastAsia="zh-CN"/>
              </w:rPr>
              <w:t>4</w:t>
            </w:r>
          </w:p>
        </w:tc>
        <w:tc>
          <w:tcPr>
            <w:tcW w:w="4521" w:type="pct"/>
            <w:noWrap w:val="0"/>
            <w:vAlign w:val="center"/>
          </w:tcPr>
          <w:p w14:paraId="1D197E8A">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仿宋" w:hAnsi="仿宋" w:eastAsia="仿宋" w:cs="仿宋"/>
                <w:sz w:val="22"/>
                <w:szCs w:val="22"/>
                <w:lang w:eastAsia="zh-CN"/>
              </w:rPr>
            </w:pPr>
            <w:r>
              <w:rPr>
                <w:rFonts w:hint="eastAsia" w:cs="仿宋"/>
                <w:sz w:val="22"/>
                <w:szCs w:val="22"/>
                <w:lang w:val="en-US" w:eastAsia="zh-CN"/>
              </w:rPr>
              <w:t>辅助完成2025年度研发费加计扣除</w:t>
            </w:r>
            <w:r>
              <w:rPr>
                <w:rFonts w:hint="eastAsia" w:ascii="仿宋" w:hAnsi="仿宋" w:eastAsia="仿宋" w:cs="仿宋"/>
                <w:sz w:val="22"/>
                <w:szCs w:val="22"/>
              </w:rPr>
              <w:t>《研发支出辅助账汇总表》和《研发项目可加计扣除研发费用归集表》</w:t>
            </w:r>
            <w:r>
              <w:rPr>
                <w:rFonts w:hint="eastAsia" w:cs="仿宋"/>
                <w:sz w:val="22"/>
                <w:szCs w:val="22"/>
                <w:lang w:eastAsia="zh-CN"/>
              </w:rPr>
              <w:t>，</w:t>
            </w:r>
            <w:r>
              <w:rPr>
                <w:rFonts w:hint="eastAsia" w:ascii="仿宋" w:hAnsi="仿宋" w:eastAsia="仿宋" w:cs="仿宋"/>
                <w:sz w:val="22"/>
                <w:szCs w:val="22"/>
              </w:rPr>
              <w:t>并</w:t>
            </w:r>
            <w:r>
              <w:rPr>
                <w:rFonts w:hint="eastAsia" w:cs="仿宋"/>
                <w:sz w:val="22"/>
                <w:szCs w:val="22"/>
                <w:lang w:val="en-US" w:eastAsia="zh-CN"/>
              </w:rPr>
              <w:t>确保</w:t>
            </w:r>
            <w:r>
              <w:rPr>
                <w:rFonts w:hint="eastAsia" w:ascii="仿宋" w:hAnsi="仿宋" w:eastAsia="仿宋" w:cs="仿宋"/>
                <w:sz w:val="22"/>
                <w:szCs w:val="22"/>
              </w:rPr>
              <w:t>财务数据归集的合理性</w:t>
            </w:r>
          </w:p>
        </w:tc>
      </w:tr>
      <w:tr w14:paraId="077C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23FD540D">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仿宋" w:hAnsi="仿宋" w:eastAsia="仿宋" w:cs="仿宋"/>
                <w:sz w:val="22"/>
                <w:szCs w:val="22"/>
                <w:lang w:val="en-US" w:eastAsia="zh-CN"/>
              </w:rPr>
            </w:pPr>
            <w:r>
              <w:rPr>
                <w:rFonts w:hint="eastAsia" w:cs="仿宋"/>
                <w:sz w:val="22"/>
                <w:szCs w:val="22"/>
                <w:lang w:val="en-US" w:eastAsia="zh-CN"/>
              </w:rPr>
              <w:t>5</w:t>
            </w:r>
          </w:p>
        </w:tc>
        <w:tc>
          <w:tcPr>
            <w:tcW w:w="4521" w:type="pct"/>
            <w:noWrap w:val="0"/>
            <w:vAlign w:val="center"/>
          </w:tcPr>
          <w:p w14:paraId="4ADBB528">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仿宋" w:hAnsi="仿宋" w:eastAsia="仿宋" w:cs="仿宋"/>
                <w:sz w:val="22"/>
                <w:szCs w:val="22"/>
              </w:rPr>
            </w:pPr>
            <w:r>
              <w:rPr>
                <w:rFonts w:hint="eastAsia" w:cs="仿宋"/>
                <w:sz w:val="22"/>
                <w:szCs w:val="22"/>
                <w:lang w:val="en-US" w:eastAsia="zh-CN"/>
              </w:rPr>
              <w:t>按主管部门要求，完成2025年度研发费加计扣除申报相关所有资料的整合，形成整套电子版资料</w:t>
            </w:r>
          </w:p>
        </w:tc>
      </w:tr>
      <w:tr w14:paraId="58E9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7F7969FC">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仿宋" w:hAnsi="仿宋" w:eastAsia="仿宋" w:cs="仿宋"/>
                <w:sz w:val="22"/>
                <w:szCs w:val="22"/>
                <w:lang w:val="en-US" w:eastAsia="zh-CN"/>
              </w:rPr>
            </w:pPr>
            <w:r>
              <w:rPr>
                <w:rFonts w:hint="eastAsia" w:cs="仿宋"/>
                <w:sz w:val="22"/>
                <w:szCs w:val="22"/>
                <w:lang w:val="en-US" w:eastAsia="zh-CN"/>
              </w:rPr>
              <w:t>6</w:t>
            </w:r>
          </w:p>
        </w:tc>
        <w:tc>
          <w:tcPr>
            <w:tcW w:w="4521" w:type="pct"/>
            <w:noWrap w:val="0"/>
            <w:vAlign w:val="center"/>
          </w:tcPr>
          <w:p w14:paraId="3A11EEB3">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default" w:ascii="仿宋" w:hAnsi="仿宋" w:eastAsia="仿宋" w:cs="仿宋"/>
                <w:sz w:val="22"/>
                <w:szCs w:val="22"/>
                <w:lang w:val="en-US" w:eastAsia="zh-CN"/>
              </w:rPr>
            </w:pPr>
            <w:r>
              <w:rPr>
                <w:rFonts w:hint="eastAsia" w:ascii="仿宋" w:hAnsi="仿宋" w:eastAsia="仿宋" w:cs="仿宋"/>
                <w:sz w:val="22"/>
                <w:szCs w:val="22"/>
              </w:rPr>
              <w:t>根据税局建议，完成</w:t>
            </w:r>
            <w:r>
              <w:rPr>
                <w:rFonts w:hint="eastAsia" w:cs="仿宋"/>
                <w:sz w:val="22"/>
                <w:szCs w:val="22"/>
                <w:lang w:val="en-US" w:eastAsia="zh-CN"/>
              </w:rPr>
              <w:t>2025年度</w:t>
            </w:r>
            <w:r>
              <w:rPr>
                <w:rFonts w:hint="eastAsia" w:ascii="仿宋" w:hAnsi="仿宋" w:eastAsia="仿宋" w:cs="仿宋"/>
                <w:sz w:val="22"/>
                <w:szCs w:val="22"/>
              </w:rPr>
              <w:t>研发项目鉴定</w:t>
            </w:r>
            <w:r>
              <w:rPr>
                <w:rFonts w:hint="eastAsia" w:cs="仿宋"/>
                <w:sz w:val="22"/>
                <w:szCs w:val="22"/>
                <w:lang w:val="en-US" w:eastAsia="zh-CN"/>
              </w:rPr>
              <w:t>项目</w:t>
            </w:r>
            <w:r>
              <w:rPr>
                <w:rFonts w:hint="eastAsia" w:ascii="仿宋" w:hAnsi="仿宋" w:eastAsia="仿宋" w:cs="仿宋"/>
                <w:sz w:val="22"/>
                <w:szCs w:val="22"/>
              </w:rPr>
              <w:t>资料整理</w:t>
            </w:r>
            <w:r>
              <w:rPr>
                <w:rFonts w:hint="eastAsia" w:cs="仿宋"/>
                <w:sz w:val="22"/>
                <w:szCs w:val="22"/>
                <w:lang w:val="en-US" w:eastAsia="zh-CN"/>
              </w:rPr>
              <w:t>及网上填报提交</w:t>
            </w:r>
          </w:p>
        </w:tc>
      </w:tr>
      <w:tr w14:paraId="4664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11F4AF83">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仿宋" w:hAnsi="仿宋" w:eastAsia="仿宋" w:cs="仿宋"/>
                <w:sz w:val="22"/>
                <w:szCs w:val="22"/>
                <w:lang w:val="en-US" w:eastAsia="zh-CN"/>
              </w:rPr>
            </w:pPr>
            <w:r>
              <w:rPr>
                <w:rFonts w:hint="eastAsia" w:cs="仿宋"/>
                <w:sz w:val="22"/>
                <w:szCs w:val="22"/>
                <w:lang w:val="en-US" w:eastAsia="zh-CN"/>
              </w:rPr>
              <w:t>7</w:t>
            </w:r>
          </w:p>
        </w:tc>
        <w:tc>
          <w:tcPr>
            <w:tcW w:w="4521" w:type="pct"/>
            <w:noWrap w:val="0"/>
            <w:vAlign w:val="center"/>
          </w:tcPr>
          <w:p w14:paraId="52D554B7">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default" w:ascii="仿宋" w:hAnsi="仿宋" w:eastAsia="仿宋" w:cs="仿宋"/>
                <w:sz w:val="22"/>
                <w:szCs w:val="22"/>
                <w:lang w:val="en-US"/>
              </w:rPr>
            </w:pPr>
            <w:r>
              <w:rPr>
                <w:rFonts w:hint="eastAsia" w:ascii="仿宋" w:hAnsi="仿宋" w:eastAsia="仿宋" w:cs="仿宋"/>
                <w:sz w:val="22"/>
                <w:szCs w:val="22"/>
              </w:rPr>
              <w:t>根据</w:t>
            </w:r>
            <w:r>
              <w:rPr>
                <w:rFonts w:hint="eastAsia" w:cs="仿宋"/>
                <w:sz w:val="22"/>
                <w:szCs w:val="22"/>
                <w:lang w:val="en-US" w:eastAsia="zh-CN"/>
              </w:rPr>
              <w:t>2025年度</w:t>
            </w:r>
            <w:r>
              <w:rPr>
                <w:rFonts w:hint="eastAsia" w:ascii="仿宋" w:hAnsi="仿宋" w:eastAsia="仿宋" w:cs="仿宋"/>
                <w:sz w:val="22"/>
                <w:szCs w:val="22"/>
              </w:rPr>
              <w:t>研发项目鉴定</w:t>
            </w:r>
            <w:r>
              <w:rPr>
                <w:rFonts w:hint="eastAsia" w:cs="仿宋"/>
                <w:sz w:val="22"/>
                <w:szCs w:val="22"/>
                <w:lang w:val="en-US" w:eastAsia="zh-CN"/>
              </w:rPr>
              <w:t>项目审核结论</w:t>
            </w:r>
            <w:r>
              <w:rPr>
                <w:rFonts w:hint="eastAsia" w:ascii="仿宋" w:hAnsi="仿宋" w:eastAsia="仿宋" w:cs="仿宋"/>
                <w:sz w:val="22"/>
                <w:szCs w:val="22"/>
              </w:rPr>
              <w:t>，</w:t>
            </w:r>
            <w:r>
              <w:rPr>
                <w:rFonts w:hint="eastAsia" w:cs="仿宋"/>
                <w:sz w:val="22"/>
                <w:szCs w:val="22"/>
                <w:lang w:val="en-US" w:eastAsia="zh-CN"/>
              </w:rPr>
              <w:t>完成异议答复或申诉所需资料的整理，并在截止日前提交</w:t>
            </w:r>
          </w:p>
        </w:tc>
      </w:tr>
      <w:tr w14:paraId="11DF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19AB241E">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default" w:cs="仿宋"/>
                <w:sz w:val="22"/>
                <w:szCs w:val="22"/>
                <w:lang w:val="en-US" w:eastAsia="zh-CN"/>
              </w:rPr>
            </w:pPr>
            <w:r>
              <w:rPr>
                <w:rFonts w:hint="eastAsia" w:cs="仿宋"/>
                <w:sz w:val="22"/>
                <w:szCs w:val="22"/>
                <w:lang w:val="en-US" w:eastAsia="zh-CN"/>
              </w:rPr>
              <w:t>8</w:t>
            </w:r>
          </w:p>
        </w:tc>
        <w:tc>
          <w:tcPr>
            <w:tcW w:w="4521" w:type="pct"/>
            <w:noWrap w:val="0"/>
            <w:vAlign w:val="center"/>
          </w:tcPr>
          <w:p w14:paraId="09CFF592">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eastAsia" w:ascii="仿宋" w:hAnsi="仿宋" w:eastAsia="仿宋" w:cs="仿宋"/>
                <w:sz w:val="22"/>
                <w:szCs w:val="22"/>
              </w:rPr>
            </w:pPr>
            <w:r>
              <w:rPr>
                <w:rFonts w:hint="eastAsia" w:ascii="仿宋" w:hAnsi="仿宋" w:eastAsia="仿宋" w:cs="仿宋"/>
                <w:sz w:val="22"/>
                <w:szCs w:val="22"/>
              </w:rPr>
              <w:t>核实企业报税时填写的加计扣除数据情况，确保填写无误</w:t>
            </w:r>
          </w:p>
        </w:tc>
      </w:tr>
      <w:tr w14:paraId="3D15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231AE804">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eastAsia" w:ascii="仿宋" w:hAnsi="仿宋" w:eastAsia="仿宋" w:cs="仿宋"/>
                <w:sz w:val="22"/>
                <w:szCs w:val="22"/>
                <w:lang w:val="en-US" w:eastAsia="zh-CN"/>
              </w:rPr>
            </w:pPr>
            <w:r>
              <w:rPr>
                <w:rFonts w:hint="eastAsia" w:cs="仿宋"/>
                <w:sz w:val="22"/>
                <w:szCs w:val="22"/>
                <w:lang w:val="en-US" w:eastAsia="zh-CN"/>
              </w:rPr>
              <w:t>9</w:t>
            </w:r>
          </w:p>
        </w:tc>
        <w:tc>
          <w:tcPr>
            <w:tcW w:w="4521" w:type="pct"/>
            <w:noWrap w:val="0"/>
            <w:vAlign w:val="center"/>
          </w:tcPr>
          <w:p w14:paraId="5D39102D">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default" w:ascii="仿宋" w:hAnsi="仿宋" w:eastAsia="仿宋" w:cs="仿宋"/>
                <w:sz w:val="22"/>
                <w:szCs w:val="22"/>
                <w:lang w:val="en-US" w:eastAsia="zh-CN"/>
              </w:rPr>
            </w:pPr>
            <w:r>
              <w:rPr>
                <w:rFonts w:hint="eastAsia" w:cs="仿宋"/>
                <w:sz w:val="22"/>
                <w:szCs w:val="22"/>
                <w:lang w:val="en-US" w:eastAsia="zh-CN"/>
              </w:rPr>
              <w:t>完成2026年度科研</w:t>
            </w:r>
            <w:r>
              <w:rPr>
                <w:rFonts w:hint="eastAsia" w:ascii="仿宋" w:hAnsi="仿宋" w:eastAsia="仿宋" w:cs="仿宋"/>
                <w:sz w:val="22"/>
                <w:szCs w:val="22"/>
              </w:rPr>
              <w:t>项目评估及规划，</w:t>
            </w:r>
            <w:r>
              <w:rPr>
                <w:rFonts w:hint="eastAsia" w:cs="仿宋"/>
                <w:sz w:val="22"/>
                <w:szCs w:val="22"/>
                <w:lang w:val="en-US" w:eastAsia="zh-CN"/>
              </w:rPr>
              <w:t>并</w:t>
            </w:r>
            <w:r>
              <w:rPr>
                <w:rFonts w:hint="eastAsia" w:ascii="仿宋" w:hAnsi="仿宋" w:eastAsia="仿宋" w:cs="仿宋"/>
                <w:sz w:val="22"/>
                <w:szCs w:val="22"/>
              </w:rPr>
              <w:t>协助</w:t>
            </w:r>
            <w:r>
              <w:rPr>
                <w:rFonts w:hint="eastAsia" w:cs="仿宋"/>
                <w:sz w:val="22"/>
                <w:szCs w:val="22"/>
                <w:lang w:val="en-US" w:eastAsia="zh-CN"/>
              </w:rPr>
              <w:t>企业</w:t>
            </w:r>
            <w:r>
              <w:rPr>
                <w:rFonts w:hint="eastAsia" w:ascii="仿宋" w:hAnsi="仿宋" w:eastAsia="仿宋" w:cs="仿宋"/>
                <w:sz w:val="22"/>
                <w:szCs w:val="22"/>
              </w:rPr>
              <w:t>确定研发项目申报数量、名称</w:t>
            </w:r>
            <w:r>
              <w:rPr>
                <w:rFonts w:hint="eastAsia" w:cs="仿宋"/>
                <w:sz w:val="22"/>
                <w:szCs w:val="22"/>
                <w:lang w:val="en-US" w:eastAsia="zh-CN"/>
              </w:rPr>
              <w:t>、科研人员、研发费归集预算（含单个课题预算）</w:t>
            </w:r>
          </w:p>
        </w:tc>
      </w:tr>
      <w:tr w14:paraId="57C6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78" w:type="pct"/>
            <w:noWrap w:val="0"/>
            <w:vAlign w:val="center"/>
          </w:tcPr>
          <w:p w14:paraId="7E0537EE">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center"/>
              <w:textAlignment w:val="auto"/>
              <w:rPr>
                <w:rFonts w:hint="default" w:ascii="仿宋" w:hAnsi="仿宋" w:eastAsia="仿宋" w:cs="仿宋"/>
                <w:sz w:val="22"/>
                <w:szCs w:val="22"/>
                <w:lang w:val="en-US" w:eastAsia="zh-CN"/>
              </w:rPr>
            </w:pPr>
            <w:r>
              <w:rPr>
                <w:rFonts w:hint="eastAsia" w:cs="仿宋"/>
                <w:sz w:val="22"/>
                <w:szCs w:val="22"/>
                <w:lang w:val="en-US" w:eastAsia="zh-CN"/>
              </w:rPr>
              <w:t>10</w:t>
            </w:r>
          </w:p>
        </w:tc>
        <w:tc>
          <w:tcPr>
            <w:tcW w:w="4521" w:type="pct"/>
            <w:noWrap w:val="0"/>
            <w:vAlign w:val="center"/>
          </w:tcPr>
          <w:p w14:paraId="604AEBD0">
            <w:pPr>
              <w:keepNext w:val="0"/>
              <w:keepLines w:val="0"/>
              <w:pageBreakBefore w:val="0"/>
              <w:widowControl w:val="0"/>
              <w:kinsoku/>
              <w:wordWrap/>
              <w:overflowPunct/>
              <w:topLinePunct w:val="0"/>
              <w:autoSpaceDE/>
              <w:autoSpaceDN/>
              <w:bidi w:val="0"/>
              <w:adjustRightInd w:val="0"/>
              <w:snapToGrid w:val="0"/>
              <w:spacing w:line="312" w:lineRule="auto"/>
              <w:ind w:firstLine="0" w:firstLineChars="0"/>
              <w:jc w:val="left"/>
              <w:textAlignment w:val="auto"/>
              <w:rPr>
                <w:rFonts w:hint="default" w:ascii="仿宋" w:hAnsi="仿宋" w:eastAsia="仿宋" w:cs="仿宋"/>
                <w:sz w:val="22"/>
                <w:szCs w:val="22"/>
                <w:lang w:val="en-US" w:eastAsia="zh-CN"/>
              </w:rPr>
            </w:pPr>
            <w:r>
              <w:rPr>
                <w:rFonts w:hint="eastAsia" w:cs="仿宋"/>
                <w:sz w:val="22"/>
                <w:szCs w:val="22"/>
                <w:lang w:val="en-US" w:eastAsia="zh-CN"/>
              </w:rPr>
              <w:t>指导企业2026年度研发过程中可能出现的技术、费用归集问题</w:t>
            </w:r>
          </w:p>
        </w:tc>
      </w:tr>
    </w:tbl>
    <w:p w14:paraId="276EBECB">
      <w:pPr>
        <w:pStyle w:val="3"/>
        <w:pageBreakBefore w:val="0"/>
        <w:widowControl w:val="0"/>
        <w:kinsoku/>
        <w:wordWrap/>
        <w:overflowPunct/>
        <w:topLinePunct w:val="0"/>
        <w:autoSpaceDE/>
        <w:autoSpaceDN/>
        <w:bidi w:val="0"/>
        <w:spacing w:line="312" w:lineRule="auto"/>
        <w:textAlignment w:val="auto"/>
        <w:rPr>
          <w:rFonts w:hint="eastAsia"/>
          <w:highlight w:val="none"/>
          <w:lang w:val="en-US" w:eastAsia="zh-CN"/>
        </w:rPr>
      </w:pPr>
      <w:r>
        <w:rPr>
          <w:rFonts w:hint="eastAsia"/>
          <w:highlight w:val="none"/>
          <w:lang w:val="en-US" w:eastAsia="zh-CN"/>
        </w:rPr>
        <w:t>（二）服务要求</w:t>
      </w:r>
    </w:p>
    <w:p w14:paraId="3934C728">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1.团队要求</w:t>
      </w:r>
    </w:p>
    <w:p w14:paraId="55042A47">
      <w:pPr>
        <w:pStyle w:val="20"/>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（1）熟悉建筑业</w:t>
      </w:r>
      <w:r>
        <w:rPr>
          <w:rFonts w:hint="eastAsia" w:ascii="仿宋" w:hAnsi="仿宋" w:eastAsia="仿宋" w:cs="仿宋"/>
          <w:lang w:val="en-US" w:eastAsia="zh-CN"/>
        </w:rPr>
        <w:t>研发费用加计扣除申报业务；</w:t>
      </w:r>
    </w:p>
    <w:p w14:paraId="2A781645">
      <w:pPr>
        <w:pStyle w:val="20"/>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（2）须配备至少2名专业人员（财务人员、技术人员个1名</w:t>
      </w:r>
      <w:r>
        <w:rPr>
          <w:rFonts w:hint="eastAsia" w:cs="仿宋"/>
          <w:sz w:val="32"/>
          <w:szCs w:val="32"/>
          <w:highlight w:val="none"/>
          <w:lang w:val="en-US" w:eastAsia="zh-CN"/>
        </w:rPr>
        <w:t>，且至少有1人</w:t>
      </w:r>
      <w:bookmarkStart w:id="0" w:name="_GoBack"/>
      <w:bookmarkEnd w:id="0"/>
      <w:r>
        <w:rPr>
          <w:rFonts w:hint="eastAsia" w:cs="仿宋"/>
          <w:sz w:val="32"/>
          <w:szCs w:val="32"/>
          <w:highlight w:val="none"/>
          <w:lang w:val="en-US" w:eastAsia="zh-CN"/>
        </w:rPr>
        <w:t>持有科技咨询师证书</w:t>
      </w:r>
      <w:r>
        <w:rPr>
          <w:rFonts w:hint="eastAsia" w:ascii="仿宋" w:hAnsi="仿宋" w:eastAsia="仿宋" w:cs="仿宋"/>
          <w:sz w:val="32"/>
          <w:szCs w:val="32"/>
          <w:highlight w:val="none"/>
          <w:lang w:val="en-US" w:eastAsia="zh-CN"/>
        </w:rPr>
        <w:t>）全程跟进，确保服务连续高效，且能按需更换人员。</w:t>
      </w:r>
    </w:p>
    <w:p w14:paraId="07CBBAAF">
      <w:pPr>
        <w:pStyle w:val="20"/>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2.专业人员需具备良好的职业道德和职业操守，严格保守采购人的商业秘密，确保服务过程中的信息安全。</w:t>
      </w:r>
    </w:p>
    <w:p w14:paraId="3D741FAE">
      <w:pPr>
        <w:pStyle w:val="20"/>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3.在服务过程中，应积极响应采购人的需求，提供高效、专业的代理服务，确保采购人的合法权益得到有效维护。</w:t>
      </w:r>
    </w:p>
    <w:p w14:paraId="1E777177">
      <w:pPr>
        <w:pStyle w:val="20"/>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eastAsia" w:cs="仿宋"/>
          <w:sz w:val="32"/>
          <w:szCs w:val="32"/>
          <w:highlight w:val="none"/>
          <w:lang w:val="en-US" w:eastAsia="zh-CN"/>
        </w:rPr>
      </w:pPr>
      <w:r>
        <w:rPr>
          <w:rFonts w:hint="eastAsia" w:cs="仿宋"/>
          <w:sz w:val="32"/>
          <w:szCs w:val="32"/>
          <w:highlight w:val="none"/>
          <w:lang w:val="en-US" w:eastAsia="zh-CN"/>
        </w:rPr>
        <w:t>4.服务过程采用线上线下沟通方式，要求供应商2026年度至少每季度到企业服务一次，相关费用由供应商自理。</w:t>
      </w:r>
    </w:p>
    <w:p w14:paraId="6F26C14A">
      <w:pPr>
        <w:pStyle w:val="20"/>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default" w:cs="仿宋"/>
          <w:sz w:val="32"/>
          <w:szCs w:val="32"/>
          <w:highlight w:val="none"/>
          <w:lang w:val="en-US" w:eastAsia="zh-CN"/>
        </w:rPr>
      </w:pPr>
      <w:r>
        <w:rPr>
          <w:rFonts w:hint="default" w:cs="仿宋"/>
          <w:sz w:val="32"/>
          <w:szCs w:val="32"/>
          <w:highlight w:val="none"/>
          <w:lang w:val="en-US" w:eastAsia="zh-CN"/>
        </w:rPr>
        <w:t>5.企业具备有效期内ISO9001质量管理体系证书</w:t>
      </w:r>
      <w:r>
        <w:rPr>
          <w:rFonts w:hint="eastAsia" w:cs="仿宋"/>
          <w:sz w:val="32"/>
          <w:szCs w:val="32"/>
          <w:highlight w:val="none"/>
          <w:lang w:val="en-US" w:eastAsia="zh-CN"/>
        </w:rPr>
        <w:t>。</w:t>
      </w:r>
    </w:p>
    <w:p w14:paraId="1D94DAAE">
      <w:pPr>
        <w:pStyle w:val="2"/>
        <w:pageBreakBefore w:val="0"/>
        <w:widowControl w:val="0"/>
        <w:kinsoku/>
        <w:wordWrap/>
        <w:overflowPunct/>
        <w:topLinePunct w:val="0"/>
        <w:autoSpaceDE/>
        <w:autoSpaceDN/>
        <w:bidi w:val="0"/>
        <w:spacing w:line="312" w:lineRule="auto"/>
        <w:textAlignment w:val="auto"/>
        <w:rPr>
          <w:rFonts w:hint="default"/>
          <w:lang w:val="en-US" w:eastAsia="zh-CN"/>
        </w:rPr>
      </w:pPr>
      <w:r>
        <w:rPr>
          <w:rFonts w:hint="eastAsia"/>
          <w:lang w:val="en-US" w:eastAsia="zh-CN"/>
        </w:rPr>
        <w:t>四、服务期限</w:t>
      </w:r>
    </w:p>
    <w:p w14:paraId="27CDD0DC">
      <w:pPr>
        <w:keepNext w:val="0"/>
        <w:keepLines w:val="0"/>
        <w:pageBreakBefore w:val="0"/>
        <w:widowControl w:val="0"/>
        <w:kinsoku/>
        <w:wordWrap/>
        <w:overflowPunct/>
        <w:topLinePunct w:val="0"/>
        <w:autoSpaceDE/>
        <w:autoSpaceDN/>
        <w:bidi w:val="0"/>
        <w:adjustRightInd/>
        <w:snapToGrid/>
        <w:spacing w:line="312" w:lineRule="auto"/>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自合同签订日起至完成2025年研发费用加计扣除鉴定及2026年度研发费用咨询服务相关工作时结束。</w:t>
      </w:r>
    </w:p>
    <w:p w14:paraId="17E29054">
      <w:pPr>
        <w:pStyle w:val="2"/>
        <w:pageBreakBefore w:val="0"/>
        <w:widowControl w:val="0"/>
        <w:numPr>
          <w:ilvl w:val="0"/>
          <w:numId w:val="2"/>
        </w:numPr>
        <w:kinsoku/>
        <w:wordWrap/>
        <w:overflowPunct/>
        <w:topLinePunct w:val="0"/>
        <w:autoSpaceDE/>
        <w:autoSpaceDN/>
        <w:bidi w:val="0"/>
        <w:spacing w:line="312" w:lineRule="auto"/>
        <w:textAlignment w:val="auto"/>
        <w:rPr>
          <w:rFonts w:hint="eastAsia"/>
          <w:lang w:val="en-US" w:eastAsia="zh-CN"/>
        </w:rPr>
      </w:pPr>
      <w:r>
        <w:rPr>
          <w:rFonts w:hint="eastAsia"/>
          <w:lang w:val="en-US" w:eastAsia="zh-CN"/>
        </w:rPr>
        <w:t>服务结算与支付</w:t>
      </w:r>
    </w:p>
    <w:p w14:paraId="53565864">
      <w:pPr>
        <w:pageBreakBefore w:val="0"/>
        <w:widowControl w:val="0"/>
        <w:numPr>
          <w:ilvl w:val="0"/>
          <w:numId w:val="0"/>
        </w:numPr>
        <w:kinsoku/>
        <w:wordWrap/>
        <w:overflowPunct/>
        <w:topLinePunct w:val="0"/>
        <w:autoSpaceDE/>
        <w:autoSpaceDN/>
        <w:bidi w:val="0"/>
        <w:spacing w:line="312" w:lineRule="auto"/>
        <w:ind w:firstLine="640" w:firstLineChars="200"/>
        <w:textAlignment w:val="auto"/>
        <w:rPr>
          <w:rFonts w:hint="default"/>
          <w:lang w:val="en-US" w:eastAsia="zh-CN"/>
        </w:rPr>
      </w:pPr>
      <w:r>
        <w:rPr>
          <w:rFonts w:hint="eastAsia"/>
          <w:lang w:val="en-US" w:eastAsia="zh-CN"/>
        </w:rPr>
        <w:t>（一）计费模式</w:t>
      </w:r>
    </w:p>
    <w:p w14:paraId="263C0F3E">
      <w:pPr>
        <w:pageBreakBefore w:val="0"/>
        <w:widowControl w:val="0"/>
        <w:numPr>
          <w:ilvl w:val="0"/>
          <w:numId w:val="0"/>
        </w:numPr>
        <w:kinsoku/>
        <w:wordWrap/>
        <w:overflowPunct/>
        <w:topLinePunct w:val="0"/>
        <w:autoSpaceDE/>
        <w:autoSpaceDN/>
        <w:bidi w:val="0"/>
        <w:spacing w:line="312" w:lineRule="auto"/>
        <w:ind w:firstLine="1280" w:firstLineChars="400"/>
        <w:textAlignment w:val="auto"/>
        <w:rPr>
          <w:rFonts w:hint="default"/>
          <w:lang w:val="en-US" w:eastAsia="zh-CN"/>
        </w:rPr>
      </w:pPr>
      <w:r>
        <w:rPr>
          <w:rFonts w:hint="eastAsia"/>
          <w:lang w:val="en-US" w:eastAsia="zh-CN"/>
        </w:rPr>
        <w:t>固定总价。</w:t>
      </w:r>
    </w:p>
    <w:p w14:paraId="1BD4D1F6">
      <w:pPr>
        <w:pStyle w:val="5"/>
        <w:pageBreakBefore w:val="0"/>
        <w:widowControl w:val="0"/>
        <w:numPr>
          <w:ilvl w:val="0"/>
          <w:numId w:val="0"/>
        </w:numPr>
        <w:kinsoku/>
        <w:wordWrap/>
        <w:overflowPunct/>
        <w:topLinePunct w:val="0"/>
        <w:autoSpaceDE/>
        <w:autoSpaceDN/>
        <w:bidi w:val="0"/>
        <w:spacing w:line="312" w:lineRule="auto"/>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（二）付款方式</w:t>
      </w:r>
    </w:p>
    <w:p w14:paraId="112A5818">
      <w:pPr>
        <w:pStyle w:val="20"/>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eastAsia" w:cs="仿宋"/>
          <w:sz w:val="32"/>
          <w:szCs w:val="32"/>
          <w:lang w:val="en-US" w:eastAsia="zh-CN"/>
        </w:rPr>
      </w:pPr>
      <w:r>
        <w:rPr>
          <w:rFonts w:hint="eastAsia" w:cs="仿宋"/>
          <w:sz w:val="32"/>
          <w:szCs w:val="32"/>
          <w:lang w:val="en-US" w:eastAsia="zh-CN"/>
        </w:rPr>
        <w:t>合同金额=第一次付款+尾款</w:t>
      </w:r>
    </w:p>
    <w:p w14:paraId="77153EBC">
      <w:pPr>
        <w:pStyle w:val="20"/>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eastAsia" w:cs="仿宋"/>
          <w:sz w:val="32"/>
          <w:szCs w:val="32"/>
          <w:lang w:val="en-US" w:eastAsia="zh-CN"/>
        </w:rPr>
      </w:pPr>
      <w:r>
        <w:rPr>
          <w:rFonts w:hint="eastAsia" w:cs="仿宋"/>
          <w:sz w:val="32"/>
          <w:szCs w:val="32"/>
          <w:lang w:val="en-US" w:eastAsia="zh-CN"/>
        </w:rPr>
        <w:t>1.第一次付款：自合同签订后、甲方收到乙方提供完成的备查资料和系统提交完成之日起，并在甲方在收到乙方开具的付款发票后十五个工作日内，支付乙方合同价30%，XXXX元的第一次付款。</w:t>
      </w:r>
    </w:p>
    <w:p w14:paraId="2CB6B207">
      <w:pPr>
        <w:pStyle w:val="20"/>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eastAsia" w:cs="仿宋"/>
          <w:sz w:val="32"/>
          <w:szCs w:val="32"/>
          <w:lang w:val="en-US" w:eastAsia="zh-CN"/>
        </w:rPr>
      </w:pPr>
      <w:r>
        <w:rPr>
          <w:rFonts w:hint="eastAsia" w:cs="仿宋"/>
          <w:sz w:val="32"/>
          <w:szCs w:val="32"/>
          <w:lang w:val="en-US" w:eastAsia="zh-CN"/>
        </w:rPr>
        <w:t>2.尾款：在乙方协助甲方完成该项目的顾问辅导工作，甲方完成年度的税务汇算清缴，研发项目通过科技创新局鉴定及专管税局无异议后，甲乙双方根据实际核定情况按第三条第5点确定乙方应收未收的服务费，甲方收到乙方开具的与应付金额等额的增值税专用发票后十五个工作日内支付乙方相应尾款。</w:t>
      </w:r>
    </w:p>
    <w:p w14:paraId="7B97FE8A">
      <w:pPr>
        <w:pStyle w:val="20"/>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（三）支付方式</w:t>
      </w:r>
    </w:p>
    <w:p w14:paraId="5EE1BB02">
      <w:pPr>
        <w:pStyle w:val="20"/>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 w:hAnsi="仿宋" w:eastAsia="仿宋" w:cs="仿宋"/>
          <w:sz w:val="32"/>
          <w:szCs w:val="32"/>
          <w:highlight w:val="none"/>
          <w:lang w:val="en-US" w:eastAsia="zh-CN"/>
        </w:rPr>
        <w:t>银行转账</w:t>
      </w:r>
      <w:r>
        <w:rPr>
          <w:rFonts w:hint="eastAsia" w:cs="仿宋"/>
          <w:sz w:val="32"/>
          <w:szCs w:val="32"/>
          <w:highlight w:val="none"/>
          <w:lang w:val="en-US" w:eastAsia="zh-CN"/>
        </w:rPr>
        <w:t>；服务公司向采购人申请付款时，应同时提供足额增值税专用发票。</w:t>
      </w: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D0E9D6-3A9C-4B79-9062-09E8F646E5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28E425F-8FE2-4A8C-825C-1D9D3899FFEC}"/>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E18048BD-28D7-467E-AFC8-DE103AD0B9A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A82D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07547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207547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EAEDD"/>
    <w:multiLevelType w:val="singleLevel"/>
    <w:tmpl w:val="948EAEDD"/>
    <w:lvl w:ilvl="0" w:tentative="0">
      <w:start w:val="2"/>
      <w:numFmt w:val="chineseCounting"/>
      <w:suff w:val="nothing"/>
      <w:lvlText w:val="%1、"/>
      <w:lvlJc w:val="left"/>
      <w:rPr>
        <w:rFonts w:hint="eastAsia"/>
      </w:rPr>
    </w:lvl>
  </w:abstractNum>
  <w:abstractNum w:abstractNumId="1">
    <w:nsid w:val="6193A17B"/>
    <w:multiLevelType w:val="singleLevel"/>
    <w:tmpl w:val="6193A17B"/>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NTFhNzZmYTIzNjc3OWQwNTk3ZmQ1NGZkODI5MTIifQ=="/>
  </w:docVars>
  <w:rsids>
    <w:rsidRoot w:val="00000000"/>
    <w:rsid w:val="031778B6"/>
    <w:rsid w:val="04131BA8"/>
    <w:rsid w:val="059C1092"/>
    <w:rsid w:val="05A908A7"/>
    <w:rsid w:val="06864B8E"/>
    <w:rsid w:val="070B300A"/>
    <w:rsid w:val="0880635D"/>
    <w:rsid w:val="0A0855DF"/>
    <w:rsid w:val="0A21063D"/>
    <w:rsid w:val="0B187AA4"/>
    <w:rsid w:val="0C1C7BA6"/>
    <w:rsid w:val="0C5114BF"/>
    <w:rsid w:val="0C9A0BC0"/>
    <w:rsid w:val="0DD52C54"/>
    <w:rsid w:val="0E4D596C"/>
    <w:rsid w:val="0F105091"/>
    <w:rsid w:val="0FDA7A1E"/>
    <w:rsid w:val="0FEE208F"/>
    <w:rsid w:val="10036F74"/>
    <w:rsid w:val="10321608"/>
    <w:rsid w:val="12107727"/>
    <w:rsid w:val="1230601B"/>
    <w:rsid w:val="12330450"/>
    <w:rsid w:val="12380A2C"/>
    <w:rsid w:val="13600D9E"/>
    <w:rsid w:val="13DF1AA7"/>
    <w:rsid w:val="14357AFF"/>
    <w:rsid w:val="153951E6"/>
    <w:rsid w:val="15E2762C"/>
    <w:rsid w:val="17111DA7"/>
    <w:rsid w:val="173914E9"/>
    <w:rsid w:val="174E10EC"/>
    <w:rsid w:val="17996410"/>
    <w:rsid w:val="17EB6307"/>
    <w:rsid w:val="18335F1D"/>
    <w:rsid w:val="18D3753A"/>
    <w:rsid w:val="191351B3"/>
    <w:rsid w:val="199C7AF2"/>
    <w:rsid w:val="1A07097D"/>
    <w:rsid w:val="1A932D34"/>
    <w:rsid w:val="1AA33BEB"/>
    <w:rsid w:val="1ABC0AB3"/>
    <w:rsid w:val="1BF64E91"/>
    <w:rsid w:val="1CDC3FF9"/>
    <w:rsid w:val="1D24353F"/>
    <w:rsid w:val="1F2C3323"/>
    <w:rsid w:val="1F4A0280"/>
    <w:rsid w:val="1F983333"/>
    <w:rsid w:val="20947775"/>
    <w:rsid w:val="20D66D3A"/>
    <w:rsid w:val="211B2C6F"/>
    <w:rsid w:val="215E22A9"/>
    <w:rsid w:val="229121BE"/>
    <w:rsid w:val="22BB19D2"/>
    <w:rsid w:val="22E01A46"/>
    <w:rsid w:val="22E559D3"/>
    <w:rsid w:val="23490CEA"/>
    <w:rsid w:val="25565941"/>
    <w:rsid w:val="25C65C75"/>
    <w:rsid w:val="26A42EE8"/>
    <w:rsid w:val="26D51563"/>
    <w:rsid w:val="287265EE"/>
    <w:rsid w:val="29845986"/>
    <w:rsid w:val="29C636CF"/>
    <w:rsid w:val="29DB01C2"/>
    <w:rsid w:val="29E277A3"/>
    <w:rsid w:val="2B397896"/>
    <w:rsid w:val="2C520C10"/>
    <w:rsid w:val="2D4D2A86"/>
    <w:rsid w:val="2DC7118A"/>
    <w:rsid w:val="2E312AA7"/>
    <w:rsid w:val="30DD0CC4"/>
    <w:rsid w:val="31832AB6"/>
    <w:rsid w:val="32031EBD"/>
    <w:rsid w:val="322655D9"/>
    <w:rsid w:val="3265769C"/>
    <w:rsid w:val="32731483"/>
    <w:rsid w:val="32905A55"/>
    <w:rsid w:val="329B4993"/>
    <w:rsid w:val="3355017E"/>
    <w:rsid w:val="337771AE"/>
    <w:rsid w:val="3420447D"/>
    <w:rsid w:val="34797643"/>
    <w:rsid w:val="348E2912"/>
    <w:rsid w:val="34E43313"/>
    <w:rsid w:val="354E2BE4"/>
    <w:rsid w:val="3586640D"/>
    <w:rsid w:val="35DA1C76"/>
    <w:rsid w:val="371511B8"/>
    <w:rsid w:val="377D5A86"/>
    <w:rsid w:val="389E2236"/>
    <w:rsid w:val="38B90DC6"/>
    <w:rsid w:val="38D17360"/>
    <w:rsid w:val="39605333"/>
    <w:rsid w:val="39833CB7"/>
    <w:rsid w:val="39DE686E"/>
    <w:rsid w:val="39EB4452"/>
    <w:rsid w:val="3C744A3C"/>
    <w:rsid w:val="3C785387"/>
    <w:rsid w:val="3D1D3917"/>
    <w:rsid w:val="3E696074"/>
    <w:rsid w:val="3F5465F5"/>
    <w:rsid w:val="403C5A07"/>
    <w:rsid w:val="4171348E"/>
    <w:rsid w:val="425012F6"/>
    <w:rsid w:val="42714768"/>
    <w:rsid w:val="42CD68B9"/>
    <w:rsid w:val="43224E39"/>
    <w:rsid w:val="44680F9E"/>
    <w:rsid w:val="448343B1"/>
    <w:rsid w:val="44A10425"/>
    <w:rsid w:val="45AC718B"/>
    <w:rsid w:val="472F65E9"/>
    <w:rsid w:val="49344ACF"/>
    <w:rsid w:val="49C8595B"/>
    <w:rsid w:val="4A62250E"/>
    <w:rsid w:val="4B1F4226"/>
    <w:rsid w:val="4C6836E0"/>
    <w:rsid w:val="4CDF40B5"/>
    <w:rsid w:val="4E1A6C5C"/>
    <w:rsid w:val="4E5403C0"/>
    <w:rsid w:val="4EC84436"/>
    <w:rsid w:val="4ED91DC5"/>
    <w:rsid w:val="5139564B"/>
    <w:rsid w:val="5261028C"/>
    <w:rsid w:val="52DB10B0"/>
    <w:rsid w:val="534053B7"/>
    <w:rsid w:val="53A96AB8"/>
    <w:rsid w:val="53E16588"/>
    <w:rsid w:val="542C7B1E"/>
    <w:rsid w:val="54F254E9"/>
    <w:rsid w:val="551C775D"/>
    <w:rsid w:val="554A799C"/>
    <w:rsid w:val="55524F2D"/>
    <w:rsid w:val="55F12998"/>
    <w:rsid w:val="560B0D4E"/>
    <w:rsid w:val="569C0B56"/>
    <w:rsid w:val="56BF7A11"/>
    <w:rsid w:val="57D342A4"/>
    <w:rsid w:val="59C75EEA"/>
    <w:rsid w:val="5B326FF7"/>
    <w:rsid w:val="5BE92017"/>
    <w:rsid w:val="5C6C799F"/>
    <w:rsid w:val="5C9D73D6"/>
    <w:rsid w:val="5DC170F4"/>
    <w:rsid w:val="5E9204B5"/>
    <w:rsid w:val="5EAF5616"/>
    <w:rsid w:val="5F593A88"/>
    <w:rsid w:val="609D4DC1"/>
    <w:rsid w:val="609F196E"/>
    <w:rsid w:val="60CA725D"/>
    <w:rsid w:val="61053469"/>
    <w:rsid w:val="61792323"/>
    <w:rsid w:val="61FB321D"/>
    <w:rsid w:val="629628FD"/>
    <w:rsid w:val="6372395E"/>
    <w:rsid w:val="63CB5C01"/>
    <w:rsid w:val="6483591E"/>
    <w:rsid w:val="65613F40"/>
    <w:rsid w:val="665B6338"/>
    <w:rsid w:val="670A5668"/>
    <w:rsid w:val="678E44EB"/>
    <w:rsid w:val="69CE4FBB"/>
    <w:rsid w:val="6A6C685D"/>
    <w:rsid w:val="6B591162"/>
    <w:rsid w:val="6BD91AAD"/>
    <w:rsid w:val="6CC30793"/>
    <w:rsid w:val="6CEC475F"/>
    <w:rsid w:val="6D8C3900"/>
    <w:rsid w:val="6DC06E3F"/>
    <w:rsid w:val="6DE6294B"/>
    <w:rsid w:val="6DF130DE"/>
    <w:rsid w:val="6EB35EEF"/>
    <w:rsid w:val="701A2DBF"/>
    <w:rsid w:val="70A5412D"/>
    <w:rsid w:val="70A75AB9"/>
    <w:rsid w:val="713B71B1"/>
    <w:rsid w:val="71FC02A3"/>
    <w:rsid w:val="723E08BB"/>
    <w:rsid w:val="72AE5A92"/>
    <w:rsid w:val="72DD6326"/>
    <w:rsid w:val="72EA0CF9"/>
    <w:rsid w:val="74341F76"/>
    <w:rsid w:val="7456112F"/>
    <w:rsid w:val="75332978"/>
    <w:rsid w:val="755161F4"/>
    <w:rsid w:val="761E4C8C"/>
    <w:rsid w:val="76342701"/>
    <w:rsid w:val="77672662"/>
    <w:rsid w:val="784604CA"/>
    <w:rsid w:val="7851759A"/>
    <w:rsid w:val="78E231C0"/>
    <w:rsid w:val="79167E9C"/>
    <w:rsid w:val="797177C8"/>
    <w:rsid w:val="799E2392"/>
    <w:rsid w:val="7A48677B"/>
    <w:rsid w:val="7A4F3ADD"/>
    <w:rsid w:val="7B7B66DC"/>
    <w:rsid w:val="7D272678"/>
    <w:rsid w:val="7D835A06"/>
    <w:rsid w:val="7DB33B66"/>
    <w:rsid w:val="7E9A50CB"/>
    <w:rsid w:val="7F731732"/>
    <w:rsid w:val="7FBB354B"/>
    <w:rsid w:val="7FE24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仿宋" w:hAnsi="仿宋" w:eastAsia="仿宋" w:cs="Times New Roman"/>
      <w:kern w:val="2"/>
      <w:sz w:val="32"/>
      <w:szCs w:val="24"/>
      <w:lang w:val="en-US" w:eastAsia="zh-CN" w:bidi="ar-SA"/>
    </w:rPr>
  </w:style>
  <w:style w:type="paragraph" w:styleId="2">
    <w:name w:val="heading 1"/>
    <w:basedOn w:val="1"/>
    <w:next w:val="1"/>
    <w:qFormat/>
    <w:uiPriority w:val="0"/>
    <w:pPr>
      <w:keepNext/>
      <w:keepLines/>
      <w:spacing w:before="200" w:beforeLines="0" w:beforeAutospacing="0" w:after="200" w:afterLines="0" w:afterAutospacing="0" w:line="360" w:lineRule="auto"/>
      <w:outlineLvl w:val="0"/>
    </w:pPr>
    <w:rPr>
      <w:rFonts w:ascii="黑体" w:hAnsi="黑体" w:eastAsia="黑体"/>
      <w:b/>
      <w:kern w:val="44"/>
      <w:sz w:val="32"/>
    </w:rPr>
  </w:style>
  <w:style w:type="paragraph" w:styleId="3">
    <w:name w:val="heading 2"/>
    <w:basedOn w:val="1"/>
    <w:next w:val="1"/>
    <w:unhideWhenUsed/>
    <w:qFormat/>
    <w:uiPriority w:val="0"/>
    <w:pPr>
      <w:keepNext/>
      <w:keepLines/>
      <w:spacing w:before="140" w:beforeLines="0" w:beforeAutospacing="0" w:after="140" w:afterLines="0" w:afterAutospacing="0" w:line="360" w:lineRule="auto"/>
      <w:outlineLvl w:val="1"/>
    </w:pPr>
    <w:rPr>
      <w:rFonts w:ascii="仿宋" w:hAnsi="仿宋" w:eastAsia="仿宋"/>
      <w:b/>
    </w:rPr>
  </w:style>
  <w:style w:type="paragraph" w:styleId="4">
    <w:name w:val="heading 3"/>
    <w:basedOn w:val="1"/>
    <w:next w:val="1"/>
    <w:unhideWhenUsed/>
    <w:qFormat/>
    <w:uiPriority w:val="0"/>
    <w:pPr>
      <w:spacing w:beforeAutospacing="0" w:afterAutospacing="0"/>
      <w:jc w:val="left"/>
      <w:outlineLvl w:val="2"/>
    </w:pPr>
    <w:rPr>
      <w:rFonts w:hint="eastAsia" w:cs="宋体"/>
      <w:b/>
      <w:bCs/>
      <w:kern w:val="0"/>
      <w:szCs w:val="27"/>
      <w:lang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60" w:lineRule="auto"/>
      <w:ind w:firstLine="420"/>
    </w:pPr>
    <w:rPr>
      <w:rFonts w:ascii="宋体"/>
    </w:rPr>
  </w:style>
  <w:style w:type="paragraph" w:customStyle="1" w:styleId="6">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7">
    <w:name w:val="Body Text"/>
    <w:basedOn w:val="1"/>
    <w:next w:val="1"/>
    <w:qFormat/>
    <w:uiPriority w:val="0"/>
    <w:pPr>
      <w:spacing w:after="120"/>
    </w:pPr>
  </w:style>
  <w:style w:type="paragraph" w:styleId="8">
    <w:name w:val="Body Text Indent"/>
    <w:basedOn w:val="1"/>
    <w:qFormat/>
    <w:uiPriority w:val="0"/>
    <w:pPr>
      <w:spacing w:line="360" w:lineRule="auto"/>
      <w:ind w:firstLine="540" w:firstLineChars="225"/>
    </w:pPr>
    <w:rPr>
      <w:rFonts w:ascii="Times New Roman" w:hAnsi="Times New Roman" w:eastAsia="宋体" w:cs="Times New Roman"/>
      <w:sz w:val="24"/>
      <w:szCs w:val="24"/>
    </w:rPr>
  </w:style>
  <w:style w:type="paragraph" w:styleId="9">
    <w:name w:val="Plain Text"/>
    <w:basedOn w:val="1"/>
    <w:qFormat/>
    <w:uiPriority w:val="0"/>
    <w:pPr>
      <w:spacing w:line="300" w:lineRule="auto"/>
    </w:pPr>
    <w:rPr>
      <w:rFonts w:ascii="宋体" w:hAnsi="Courier New"/>
      <w:sz w:val="21"/>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等线 Light" w:hAnsi="等线 Light" w:eastAsia="等线 Light" w:cs="Times New Roman"/>
      <w:b/>
      <w:bCs/>
      <w:sz w:val="32"/>
      <w:szCs w:val="32"/>
    </w:rPr>
  </w:style>
  <w:style w:type="paragraph" w:styleId="14">
    <w:name w:val="Body Text First Indent 2"/>
    <w:basedOn w:val="8"/>
    <w:unhideWhenUsed/>
    <w:qFormat/>
    <w:uiPriority w:val="99"/>
    <w:pPr>
      <w:ind w:firstLine="420" w:firstLineChars="200"/>
    </w:pPr>
  </w:style>
  <w:style w:type="character" w:styleId="17">
    <w:name w:val="Strong"/>
    <w:basedOn w:val="16"/>
    <w:qFormat/>
    <w:uiPriority w:val="0"/>
    <w:rPr>
      <w:b/>
    </w:rPr>
  </w:style>
  <w:style w:type="paragraph" w:customStyle="1" w:styleId="18">
    <w:name w:val="普通 (Web)"/>
    <w:basedOn w:val="1"/>
    <w:qFormat/>
    <w:uiPriority w:val="0"/>
    <w:pPr>
      <w:spacing w:before="100" w:beforeAutospacing="1" w:after="100" w:afterAutospacing="1"/>
    </w:pPr>
    <w:rPr>
      <w:rFonts w:ascii="宋体" w:hAnsi="宋体"/>
      <w:sz w:val="24"/>
    </w:rPr>
  </w:style>
  <w:style w:type="paragraph" w:customStyle="1" w:styleId="19">
    <w:name w:val="_Style 1"/>
    <w:basedOn w:val="1"/>
    <w:qFormat/>
    <w:uiPriority w:val="34"/>
    <w:pPr>
      <w:ind w:firstLine="420" w:firstLineChars="200"/>
    </w:pPr>
    <w:rPr>
      <w:rFonts w:ascii="Times New Roman" w:hAnsi="Times New Roman"/>
      <w:szCs w:val="22"/>
    </w:rPr>
  </w:style>
  <w:style w:type="paragraph" w:customStyle="1" w:styleId="20">
    <w:name w:val="列出段落1"/>
    <w:basedOn w:val="1"/>
    <w:qFormat/>
    <w:uiPriority w:val="0"/>
    <w:pPr>
      <w:ind w:firstLine="420" w:firstLineChars="200"/>
    </w:p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21"/>
    <w:basedOn w:val="16"/>
    <w:qFormat/>
    <w:uiPriority w:val="0"/>
    <w:rPr>
      <w:rFonts w:hint="eastAsia" w:ascii="宋体" w:hAnsi="宋体" w:eastAsia="宋体" w:cs="宋体"/>
      <w:color w:val="FF0000"/>
      <w:sz w:val="16"/>
      <w:szCs w:val="16"/>
      <w:u w:val="none"/>
    </w:rPr>
  </w:style>
  <w:style w:type="paragraph" w:customStyle="1" w:styleId="23">
    <w:name w:val="List Paragraph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502</Words>
  <Characters>522</Characters>
  <Lines>0</Lines>
  <Paragraphs>0</Paragraphs>
  <TotalTime>7</TotalTime>
  <ScaleCrop>false</ScaleCrop>
  <LinksUpToDate>false</LinksUpToDate>
  <CharactersWithSpaces>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长正建设-王兴兴</cp:lastModifiedBy>
  <cp:lastPrinted>2026-01-09T08:53:00Z</cp:lastPrinted>
  <dcterms:modified xsi:type="dcterms:W3CDTF">2026-01-20T03:16:49Z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2981A168735644FABB5C0D2216C8AC5D_13</vt:lpwstr>
  </property>
  <property fmtid="{D5CDD505-2E9C-101B-9397-08002B2CF9AE}" pid="4" name="KSOTemplateDocerSaveRecord">
    <vt:lpwstr>eyJoZGlkIjoiOWRkOGE5NGU5M2ZiY2M3Y2Y0OWNiZDk5Y2YzY2IxMzgiLCJ1c2VySWQiOiIxNjI1MjE5MTUwIn0=</vt:lpwstr>
  </property>
</Properties>
</file>