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931A3">
      <w:pPr>
        <w:keepNext w:val="0"/>
        <w:keepLines w:val="0"/>
        <w:pageBreakBefore w:val="0"/>
        <w:widowControl w:val="0"/>
        <w:kinsoku/>
        <w:wordWrap/>
        <w:overflowPunct w:val="0"/>
        <w:topLinePunct w:val="0"/>
        <w:autoSpaceDE w:val="0"/>
        <w:autoSpaceDN w:val="0"/>
        <w:bidi w:val="0"/>
        <w:adjustRightInd/>
        <w:snapToGrid/>
        <w:spacing w:line="480" w:lineRule="auto"/>
        <w:jc w:val="both"/>
        <w:textAlignment w:val="auto"/>
        <w:rPr>
          <w:rFonts w:hint="eastAsia" w:ascii="宋体" w:hAnsi="宋体"/>
          <w:b/>
          <w:color w:val="auto"/>
          <w:sz w:val="36"/>
          <w:szCs w:val="36"/>
          <w:lang w:eastAsia="zh-CN"/>
        </w:rPr>
      </w:pPr>
      <w:bookmarkStart w:id="0" w:name="_GoBack"/>
      <w:bookmarkEnd w:id="0"/>
      <w:r>
        <w:rPr>
          <w:rFonts w:hint="eastAsia" w:ascii="宋体" w:hAnsi="宋体"/>
          <w:b/>
          <w:color w:val="auto"/>
          <w:sz w:val="36"/>
          <w:szCs w:val="36"/>
          <w:lang w:eastAsia="zh-CN"/>
        </w:rPr>
        <w:t>珠海大横琴城市建设有限公司2025年度企业研发</w:t>
      </w:r>
    </w:p>
    <w:p w14:paraId="07799C38">
      <w:pPr>
        <w:keepNext w:val="0"/>
        <w:keepLines w:val="0"/>
        <w:pageBreakBefore w:val="0"/>
        <w:widowControl w:val="0"/>
        <w:kinsoku/>
        <w:wordWrap/>
        <w:overflowPunct w:val="0"/>
        <w:topLinePunct w:val="0"/>
        <w:autoSpaceDE w:val="0"/>
        <w:autoSpaceDN w:val="0"/>
        <w:bidi w:val="0"/>
        <w:adjustRightInd/>
        <w:snapToGrid/>
        <w:spacing w:line="480" w:lineRule="auto"/>
        <w:jc w:val="center"/>
        <w:textAlignment w:val="auto"/>
        <w:rPr>
          <w:rFonts w:hint="default"/>
          <w:color w:val="auto"/>
          <w:sz w:val="36"/>
          <w:szCs w:val="36"/>
          <w:lang w:val="en-US"/>
        </w:rPr>
      </w:pPr>
      <w:r>
        <w:rPr>
          <w:rFonts w:hint="eastAsia" w:ascii="宋体" w:hAnsi="宋体"/>
          <w:b/>
          <w:color w:val="auto"/>
          <w:sz w:val="36"/>
          <w:szCs w:val="36"/>
          <w:lang w:eastAsia="zh-CN"/>
        </w:rPr>
        <w:t>费用补贴申报咨询服务</w:t>
      </w:r>
      <w:r>
        <w:rPr>
          <w:rFonts w:hint="eastAsia" w:ascii="宋体" w:hAnsi="宋体"/>
          <w:b/>
          <w:color w:val="auto"/>
          <w:sz w:val="36"/>
          <w:szCs w:val="36"/>
          <w:lang w:val="en-US" w:eastAsia="zh-CN"/>
        </w:rPr>
        <w:t>需求书</w:t>
      </w:r>
    </w:p>
    <w:p w14:paraId="1B85430F">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643" w:firstLineChars="200"/>
        <w:textAlignment w:val="auto"/>
        <w:rPr>
          <w:rFonts w:hint="eastAsia" w:ascii="仿宋" w:hAnsi="仿宋" w:eastAsia="仿宋"/>
          <w:b/>
          <w:color w:val="auto"/>
          <w:sz w:val="32"/>
          <w:szCs w:val="32"/>
          <w:lang w:val="en-US" w:eastAsia="zh-CN"/>
        </w:rPr>
      </w:pPr>
    </w:p>
    <w:p w14:paraId="6D3DEA95">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Chars="0" w:firstLine="562" w:firstLineChars="200"/>
        <w:textAlignment w:val="auto"/>
        <w:rPr>
          <w:rFonts w:ascii="仿宋" w:hAnsi="仿宋" w:eastAsia="仿宋"/>
          <w:b/>
          <w:color w:val="auto"/>
          <w:sz w:val="28"/>
          <w:szCs w:val="28"/>
        </w:rPr>
      </w:pPr>
      <w:r>
        <w:rPr>
          <w:rFonts w:hint="eastAsia" w:ascii="仿宋" w:hAnsi="仿宋" w:eastAsia="仿宋"/>
          <w:b/>
          <w:color w:val="auto"/>
          <w:sz w:val="28"/>
          <w:szCs w:val="28"/>
          <w:lang w:val="en-US" w:eastAsia="zh-CN"/>
        </w:rPr>
        <w:t>一、</w:t>
      </w:r>
      <w:r>
        <w:rPr>
          <w:rFonts w:hint="eastAsia" w:ascii="仿宋" w:hAnsi="仿宋" w:eastAsia="仿宋"/>
          <w:b/>
          <w:color w:val="auto"/>
          <w:sz w:val="28"/>
          <w:szCs w:val="28"/>
        </w:rPr>
        <w:t>采购项目名称</w:t>
      </w:r>
    </w:p>
    <w:p w14:paraId="2585E351">
      <w:pPr>
        <w:keepNext w:val="0"/>
        <w:keepLines w:val="0"/>
        <w:pageBreakBefore w:val="0"/>
        <w:widowControl w:val="0"/>
        <w:kinsoku/>
        <w:wordWrap/>
        <w:overflowPunct w:val="0"/>
        <w:topLinePunct w:val="0"/>
        <w:autoSpaceDE w:val="0"/>
        <w:autoSpaceDN w:val="0"/>
        <w:bidi w:val="0"/>
        <w:adjustRightInd/>
        <w:snapToGrid/>
        <w:ind w:firstLine="560" w:firstLineChars="200"/>
        <w:textAlignment w:val="auto"/>
        <w:rPr>
          <w:rFonts w:hint="eastAsia" w:ascii="仿宋" w:hAnsi="仿宋" w:eastAsia="仿宋"/>
          <w:bCs/>
          <w:color w:val="auto"/>
          <w:sz w:val="28"/>
          <w:szCs w:val="28"/>
          <w:u w:val="none"/>
          <w:lang w:val="en-US" w:eastAsia="zh-CN"/>
        </w:rPr>
      </w:pPr>
      <w:r>
        <w:rPr>
          <w:rFonts w:hint="eastAsia" w:ascii="仿宋" w:hAnsi="仿宋" w:eastAsia="仿宋"/>
          <w:bCs/>
          <w:color w:val="auto"/>
          <w:sz w:val="28"/>
          <w:szCs w:val="28"/>
          <w:u w:val="none"/>
          <w:lang w:val="en-US" w:eastAsia="zh-CN"/>
        </w:rPr>
        <w:t>珠海大横琴城市建设有限公司2025年度企业研发费用补贴申报咨询服务</w:t>
      </w:r>
    </w:p>
    <w:p w14:paraId="531CB6E7">
      <w:pPr>
        <w:pStyle w:val="19"/>
        <w:keepNext w:val="0"/>
        <w:keepLines w:val="0"/>
        <w:pageBreakBefore w:val="0"/>
        <w:widowControl w:val="0"/>
        <w:numPr>
          <w:ilvl w:val="0"/>
          <w:numId w:val="0"/>
        </w:numPr>
        <w:kinsoku/>
        <w:wordWrap/>
        <w:overflowPunct w:val="0"/>
        <w:topLinePunct w:val="0"/>
        <w:autoSpaceDE w:val="0"/>
        <w:autoSpaceDN w:val="0"/>
        <w:bidi w:val="0"/>
        <w:adjustRightInd/>
        <w:snapToGrid/>
        <w:spacing w:line="560" w:lineRule="exact"/>
        <w:ind w:left="630" w:leftChars="0"/>
        <w:textAlignment w:val="auto"/>
        <w:rPr>
          <w:rFonts w:ascii="仿宋" w:hAnsi="仿宋" w:eastAsia="仿宋"/>
          <w:color w:val="auto"/>
          <w:sz w:val="28"/>
          <w:szCs w:val="28"/>
        </w:rPr>
      </w:pPr>
      <w:r>
        <w:rPr>
          <w:rFonts w:hint="eastAsia" w:ascii="仿宋" w:hAnsi="仿宋" w:eastAsia="仿宋"/>
          <w:b/>
          <w:color w:val="auto"/>
          <w:sz w:val="28"/>
          <w:szCs w:val="28"/>
          <w:lang w:val="en-US" w:eastAsia="zh-CN"/>
        </w:rPr>
        <w:t>二、项目</w:t>
      </w:r>
      <w:r>
        <w:rPr>
          <w:rFonts w:hint="eastAsia" w:ascii="仿宋" w:hAnsi="仿宋" w:eastAsia="仿宋"/>
          <w:b/>
          <w:sz w:val="28"/>
          <w:szCs w:val="28"/>
          <w:highlight w:val="none"/>
          <w:lang w:val="en-US" w:eastAsia="zh-CN"/>
        </w:rPr>
        <w:t>背景</w:t>
      </w:r>
    </w:p>
    <w:p w14:paraId="7D3F5AA3">
      <w:pPr>
        <w:pStyle w:val="25"/>
        <w:widowControl w:val="0"/>
        <w:numPr>
          <w:ilvl w:val="0"/>
          <w:numId w:val="0"/>
        </w:numPr>
        <w:tabs>
          <w:tab w:val="clear" w:pos="2565"/>
        </w:tabs>
        <w:kinsoku/>
        <w:overflowPunct/>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横琴粤澳深度合作区经济发展局于2026年4月17日发布《横琴粤澳深度合作区经济发展局关于组织申报2025年度企业研发费用补贴和独角兽企业研发费补贴的通知》，符合认定标准的相关企业可申报企业研发费资助补贴，申报期限为2026年4月20日至2026年5月31日，补贴标准企业按年度研发费用总额的5%或10%给予补贴。城建公司已连续三年（2022-2024）成功申报并获得年度研发费用10%的资助补贴，经确认，城建公司2025年度研发费用为6,036,921.07元，为切实维护公司自身权益，确保项目申报工作规范、高效推进，现提请采购一家专业咨询服务单位，为本次申报工作提供全流程咨询及材料编制辅导服务。</w:t>
      </w:r>
    </w:p>
    <w:p w14:paraId="70142B41">
      <w:pPr>
        <w:pStyle w:val="25"/>
        <w:widowControl w:val="0"/>
        <w:numPr>
          <w:ilvl w:val="0"/>
          <w:numId w:val="0"/>
        </w:numPr>
        <w:tabs>
          <w:tab w:val="clear" w:pos="2565"/>
        </w:tabs>
        <w:kinsoku/>
        <w:overflowPunct/>
        <w:autoSpaceDE/>
        <w:autoSpaceDN/>
        <w:adjustRightInd/>
        <w:snapToGrid/>
        <w:spacing w:line="560" w:lineRule="exact"/>
        <w:ind w:firstLine="562" w:firstLineChars="200"/>
        <w:jc w:val="both"/>
        <w:textAlignment w:val="auto"/>
        <w:rPr>
          <w:rFonts w:hint="eastAsia" w:ascii="仿宋" w:hAnsi="仿宋" w:eastAsia="仿宋" w:cstheme="minorBidi"/>
          <w:b/>
          <w:color w:val="auto"/>
          <w:kern w:val="2"/>
          <w:sz w:val="28"/>
          <w:szCs w:val="28"/>
          <w:lang w:val="en-US" w:eastAsia="zh-CN" w:bidi="ar-SA"/>
        </w:rPr>
      </w:pPr>
      <w:r>
        <w:rPr>
          <w:rFonts w:hint="eastAsia" w:ascii="仿宋" w:hAnsi="仿宋" w:eastAsia="仿宋" w:cstheme="minorBidi"/>
          <w:b/>
          <w:color w:val="auto"/>
          <w:kern w:val="2"/>
          <w:sz w:val="28"/>
          <w:szCs w:val="28"/>
          <w:lang w:val="en-US" w:eastAsia="zh-CN" w:bidi="ar-SA"/>
        </w:rPr>
        <w:t>三、采购服务事项内容及要求</w:t>
      </w:r>
    </w:p>
    <w:p w14:paraId="53A2F905">
      <w:pPr>
        <w:pStyle w:val="27"/>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楷体_GB2312" w:hAnsi="楷体_GB2312" w:eastAsia="楷体_GB2312" w:cs="楷体_GB2312"/>
          <w:sz w:val="28"/>
          <w:szCs w:val="28"/>
          <w:highlight w:val="none"/>
          <w:lang w:val="en-US" w:eastAsia="zh-CN"/>
        </w:rPr>
      </w:pPr>
      <w:r>
        <w:rPr>
          <w:rFonts w:hint="eastAsia" w:ascii="楷体_GB2312" w:hAnsi="楷体_GB2312" w:eastAsia="楷体_GB2312" w:cs="楷体_GB2312"/>
          <w:sz w:val="28"/>
          <w:szCs w:val="28"/>
          <w:highlight w:val="none"/>
          <w:lang w:val="en-US" w:eastAsia="zh-CN"/>
        </w:rPr>
        <w:t>（一）采购内容</w:t>
      </w:r>
    </w:p>
    <w:p w14:paraId="13BBF00A">
      <w:pPr>
        <w:keepNext w:val="0"/>
        <w:keepLines w:val="0"/>
        <w:pageBreakBefore w:val="0"/>
        <w:widowControl w:val="0"/>
        <w:kinsoku/>
        <w:wordWrap/>
        <w:overflowPunct w:val="0"/>
        <w:topLinePunct w:val="0"/>
        <w:autoSpaceDE w:val="0"/>
        <w:autoSpaceDN w:val="0"/>
        <w:bidi w:val="0"/>
        <w:adjustRightInd/>
        <w:snapToGrid/>
        <w:ind w:firstLine="560" w:firstLineChars="200"/>
        <w:textAlignment w:val="auto"/>
        <w:rPr>
          <w:rFonts w:hint="default" w:ascii="仿宋" w:hAnsi="仿宋" w:eastAsia="仿宋"/>
          <w:color w:val="auto"/>
          <w:sz w:val="28"/>
          <w:szCs w:val="28"/>
          <w:u w:val="none"/>
          <w:lang w:val="en-US"/>
        </w:rPr>
      </w:pPr>
      <w:r>
        <w:rPr>
          <w:rFonts w:hint="eastAsia" w:ascii="仿宋" w:hAnsi="仿宋" w:eastAsia="仿宋"/>
          <w:bCs/>
          <w:color w:val="auto"/>
          <w:sz w:val="28"/>
          <w:szCs w:val="28"/>
          <w:u w:val="none"/>
          <w:lang w:val="en-US" w:eastAsia="zh-CN"/>
        </w:rPr>
        <w:t>采购珠海大横琴城市建设有限公司2025年度企业研发费用补贴申报咨询</w:t>
      </w:r>
    </w:p>
    <w:p w14:paraId="4E6F7CFA">
      <w:pPr>
        <w:pStyle w:val="25"/>
        <w:widowControl w:val="0"/>
        <w:numPr>
          <w:ilvl w:val="0"/>
          <w:numId w:val="0"/>
        </w:numPr>
        <w:tabs>
          <w:tab w:val="clear" w:pos="2565"/>
        </w:tabs>
        <w:kinsoku/>
        <w:overflowPunct/>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Times New Roman"/>
          <w:kern w:val="2"/>
          <w:sz w:val="28"/>
          <w:szCs w:val="28"/>
          <w:highlight w:val="none"/>
          <w:lang w:val="en-US" w:eastAsia="zh-CN" w:bidi="ar-SA"/>
        </w:rPr>
        <w:t>（二）采购服务内容</w:t>
      </w:r>
    </w:p>
    <w:p w14:paraId="288241A4">
      <w:pPr>
        <w:pStyle w:val="25"/>
        <w:widowControl w:val="0"/>
        <w:numPr>
          <w:ilvl w:val="0"/>
          <w:numId w:val="0"/>
        </w:numPr>
        <w:tabs>
          <w:tab w:val="clear" w:pos="2565"/>
        </w:tabs>
        <w:kinsoku/>
        <w:overflowPunct/>
        <w:autoSpaceDE/>
        <w:autoSpaceDN/>
        <w:adjustRightInd/>
        <w:snapToGrid/>
        <w:spacing w:line="560" w:lineRule="exact"/>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包括但不限于以下内容：</w:t>
      </w:r>
    </w:p>
    <w:p w14:paraId="0876E28B">
      <w:pPr>
        <w:pStyle w:val="25"/>
        <w:widowControl w:val="0"/>
        <w:numPr>
          <w:ilvl w:val="0"/>
          <w:numId w:val="2"/>
        </w:numPr>
        <w:tabs>
          <w:tab w:val="clear" w:pos="2565"/>
        </w:tabs>
        <w:kinsoku/>
        <w:overflowPunct/>
        <w:autoSpaceDE/>
        <w:autoSpaceDN/>
        <w:adjustRightInd/>
        <w:snapToGrid/>
        <w:spacing w:line="560" w:lineRule="exact"/>
        <w:ind w:left="645" w:leftChars="0" w:hanging="5" w:firstLine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申报咨询服务</w:t>
      </w:r>
    </w:p>
    <w:p w14:paraId="1F0466C2">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r>
        <w:rPr>
          <w:rFonts w:hint="default" w:ascii="仿宋" w:hAnsi="仿宋" w:eastAsia="仿宋" w:cs="仿宋"/>
          <w:color w:val="auto"/>
          <w:sz w:val="28"/>
          <w:szCs w:val="28"/>
          <w:lang w:val="en-US" w:eastAsia="zh-CN"/>
        </w:rPr>
        <w:t>负责解读政府相关政策文件，并结合</w:t>
      </w:r>
      <w:r>
        <w:rPr>
          <w:rFonts w:hint="eastAsia" w:ascii="仿宋" w:hAnsi="仿宋" w:eastAsia="仿宋" w:cs="仿宋"/>
          <w:color w:val="auto"/>
          <w:sz w:val="28"/>
          <w:szCs w:val="28"/>
          <w:lang w:val="en-US" w:eastAsia="zh-CN"/>
        </w:rPr>
        <w:t>甲方</w:t>
      </w:r>
      <w:r>
        <w:rPr>
          <w:rFonts w:hint="default" w:ascii="仿宋" w:hAnsi="仿宋" w:eastAsia="仿宋" w:cs="仿宋"/>
          <w:color w:val="auto"/>
          <w:sz w:val="28"/>
          <w:szCs w:val="28"/>
          <w:lang w:val="en-US" w:eastAsia="zh-CN"/>
        </w:rPr>
        <w:t>业务情况出具申报资料清单，协助</w:t>
      </w:r>
      <w:r>
        <w:rPr>
          <w:rFonts w:hint="eastAsia" w:ascii="仿宋" w:hAnsi="仿宋" w:eastAsia="仿宋" w:cs="仿宋"/>
          <w:color w:val="auto"/>
          <w:sz w:val="28"/>
          <w:szCs w:val="28"/>
          <w:lang w:val="en-US" w:eastAsia="zh-CN"/>
        </w:rPr>
        <w:t>甲方</w:t>
      </w:r>
      <w:r>
        <w:rPr>
          <w:rFonts w:hint="default" w:ascii="仿宋" w:hAnsi="仿宋" w:eastAsia="仿宋" w:cs="仿宋"/>
          <w:color w:val="auto"/>
          <w:sz w:val="28"/>
          <w:szCs w:val="28"/>
          <w:lang w:val="en-US" w:eastAsia="zh-CN"/>
        </w:rPr>
        <w:t>编制申报材料；</w:t>
      </w:r>
    </w:p>
    <w:p w14:paraId="3640A194">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r>
        <w:rPr>
          <w:rFonts w:hint="default" w:ascii="仿宋" w:hAnsi="仿宋" w:eastAsia="仿宋" w:cs="仿宋"/>
          <w:color w:val="auto"/>
          <w:sz w:val="28"/>
          <w:szCs w:val="28"/>
          <w:lang w:val="en-US" w:eastAsia="zh-CN"/>
        </w:rPr>
        <w:t>负责与政府部门等项目相关业务部门对接服务，配合提供相关资料；</w:t>
      </w:r>
    </w:p>
    <w:p w14:paraId="2C3DB31B">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r>
        <w:rPr>
          <w:rFonts w:hint="default" w:ascii="仿宋" w:hAnsi="仿宋" w:eastAsia="仿宋" w:cs="仿宋"/>
          <w:color w:val="auto"/>
          <w:sz w:val="28"/>
          <w:szCs w:val="28"/>
          <w:lang w:val="en-US" w:eastAsia="zh-CN"/>
        </w:rPr>
        <w:t>提供项目进度跟踪服务；</w:t>
      </w:r>
    </w:p>
    <w:p w14:paraId="1D515869">
      <w:pPr>
        <w:pStyle w:val="25"/>
        <w:widowControl w:val="0"/>
        <w:numPr>
          <w:ilvl w:val="0"/>
          <w:numId w:val="0"/>
        </w:numPr>
        <w:tabs>
          <w:tab w:val="clear" w:pos="2565"/>
        </w:tabs>
        <w:kinsoku/>
        <w:overflowPunct/>
        <w:autoSpaceDE/>
        <w:autoSpaceDN/>
        <w:adjustRightInd/>
        <w:snapToGrid/>
        <w:spacing w:line="560" w:lineRule="exact"/>
        <w:ind w:left="640" w:leftChars="0" w:firstLine="0" w:firstLine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r>
        <w:rPr>
          <w:rFonts w:hint="default" w:ascii="仿宋" w:hAnsi="仿宋" w:eastAsia="仿宋" w:cs="仿宋"/>
          <w:color w:val="auto"/>
          <w:sz w:val="28"/>
          <w:szCs w:val="28"/>
          <w:lang w:val="en-US" w:eastAsia="zh-CN"/>
        </w:rPr>
        <w:t>其他为完成本采购项目</w:t>
      </w:r>
      <w:r>
        <w:rPr>
          <w:rFonts w:hint="eastAsia" w:ascii="仿宋" w:hAnsi="仿宋" w:eastAsia="仿宋" w:cs="仿宋"/>
          <w:color w:val="auto"/>
          <w:sz w:val="28"/>
          <w:szCs w:val="28"/>
          <w:lang w:val="en-US" w:eastAsia="zh-CN"/>
        </w:rPr>
        <w:t>甲方</w:t>
      </w:r>
      <w:r>
        <w:rPr>
          <w:rFonts w:hint="default" w:ascii="仿宋" w:hAnsi="仿宋" w:eastAsia="仿宋" w:cs="仿宋"/>
          <w:color w:val="auto"/>
          <w:sz w:val="28"/>
          <w:szCs w:val="28"/>
          <w:lang w:val="en-US" w:eastAsia="zh-CN"/>
        </w:rPr>
        <w:t>所要求的其他服务。</w:t>
      </w:r>
    </w:p>
    <w:p w14:paraId="516CED1F">
      <w:pPr>
        <w:pStyle w:val="25"/>
        <w:widowControl w:val="0"/>
        <w:numPr>
          <w:ilvl w:val="0"/>
          <w:numId w:val="2"/>
        </w:numPr>
        <w:tabs>
          <w:tab w:val="clear" w:pos="2565"/>
        </w:tabs>
        <w:kinsoku/>
        <w:overflowPunct/>
        <w:autoSpaceDE/>
        <w:autoSpaceDN/>
        <w:adjustRightInd/>
        <w:snapToGrid/>
        <w:spacing w:line="560" w:lineRule="exact"/>
        <w:ind w:left="645" w:leftChars="0" w:hanging="5" w:firstLineChars="0"/>
        <w:jc w:val="both"/>
        <w:textAlignment w:val="auto"/>
        <w:rPr>
          <w:rFonts w:hint="default" w:ascii="仿宋" w:hAnsi="仿宋" w:eastAsia="仿宋" w:cs="仿宋"/>
          <w:color w:val="auto"/>
          <w:sz w:val="28"/>
          <w:szCs w:val="28"/>
          <w:lang w:val="en-US" w:eastAsia="zh-CN"/>
        </w:rPr>
      </w:pPr>
      <w:r>
        <w:rPr>
          <w:rFonts w:hint="default" w:ascii="仿宋" w:hAnsi="仿宋" w:eastAsia="仿宋" w:cs="仿宋"/>
          <w:color w:val="auto"/>
          <w:sz w:val="28"/>
          <w:szCs w:val="28"/>
          <w:lang w:val="en-US" w:eastAsia="zh-CN"/>
        </w:rPr>
        <w:t>其他第三方协调咨询服务</w:t>
      </w:r>
    </w:p>
    <w:p w14:paraId="285E3120">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（1）负责跟进甲方研发费用专项审计报告的出具情况；</w:t>
      </w:r>
    </w:p>
    <w:p w14:paraId="2F7221BF">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（2）负责跟进甲方10个研发项目的科技查新报告出具情况；</w:t>
      </w:r>
    </w:p>
    <w:p w14:paraId="5BC8361E">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（3）负责提供相关第三方的沟通协调服务，并跟进相关报告出具进度。</w:t>
      </w:r>
    </w:p>
    <w:p w14:paraId="21E99A36">
      <w:pPr>
        <w:pStyle w:val="25"/>
        <w:widowControl w:val="0"/>
        <w:numPr>
          <w:ilvl w:val="0"/>
          <w:numId w:val="0"/>
        </w:numPr>
        <w:tabs>
          <w:tab w:val="clear" w:pos="2565"/>
        </w:tabs>
        <w:kinsoku/>
        <w:overflowPunct/>
        <w:autoSpaceDE/>
        <w:autoSpaceDN/>
        <w:adjustRightInd/>
        <w:snapToGrid/>
        <w:spacing w:line="560" w:lineRule="exact"/>
        <w:ind w:left="0" w:leftChars="0" w:firstLine="280" w:firstLineChars="1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（三）采购服务要求：</w:t>
      </w:r>
    </w:p>
    <w:p w14:paraId="5B9B9B0C">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（1）成交单位</w:t>
      </w:r>
      <w:r>
        <w:rPr>
          <w:rFonts w:hint="default" w:ascii="仿宋" w:hAnsi="仿宋" w:eastAsia="仿宋" w:cs="仿宋"/>
          <w:color w:val="auto"/>
          <w:sz w:val="28"/>
          <w:szCs w:val="28"/>
          <w:lang w:val="en-US" w:eastAsia="zh-CN"/>
        </w:rPr>
        <w:t>应指派具有【3】年以上科技项目申报经验的专业人员担任本项目负责人，项目团队不少于【2】人。</w:t>
      </w:r>
      <w:r>
        <w:rPr>
          <w:rFonts w:hint="eastAsia" w:ascii="仿宋" w:hAnsi="仿宋" w:eastAsia="仿宋" w:cs="仿宋"/>
          <w:color w:val="auto"/>
          <w:sz w:val="28"/>
          <w:szCs w:val="28"/>
          <w:lang w:val="en-US" w:eastAsia="zh-CN"/>
        </w:rPr>
        <w:t>成交单位</w:t>
      </w:r>
      <w:r>
        <w:rPr>
          <w:rFonts w:hint="default" w:ascii="仿宋" w:hAnsi="仿宋" w:eastAsia="仿宋" w:cs="仿宋"/>
          <w:color w:val="auto"/>
          <w:sz w:val="28"/>
          <w:szCs w:val="28"/>
          <w:lang w:val="en-US" w:eastAsia="zh-CN"/>
        </w:rPr>
        <w:t>更换项目负责人须经甲方书面同意。</w:t>
      </w:r>
    </w:p>
    <w:p w14:paraId="2A77690B">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（2）成交单位</w:t>
      </w:r>
      <w:r>
        <w:rPr>
          <w:rFonts w:hint="default" w:ascii="仿宋" w:hAnsi="仿宋" w:eastAsia="仿宋" w:cs="仿宋"/>
          <w:color w:val="auto"/>
          <w:sz w:val="28"/>
          <w:szCs w:val="28"/>
          <w:lang w:val="en-US" w:eastAsia="zh-CN"/>
        </w:rPr>
        <w:t>应在合同签订后【5】个工作日内向甲方提交详细的服务工作计划和时间节点表，经甲方确认后严格执行。</w:t>
      </w:r>
    </w:p>
    <w:p w14:paraId="27219B30">
      <w:pPr>
        <w:pStyle w:val="25"/>
        <w:widowControl w:val="0"/>
        <w:numPr>
          <w:ilvl w:val="0"/>
          <w:numId w:val="0"/>
        </w:numPr>
        <w:tabs>
          <w:tab w:val="clear" w:pos="2565"/>
        </w:tabs>
        <w:kinsoku/>
        <w:overflowPunct/>
        <w:autoSpaceDE/>
        <w:autoSpaceDN/>
        <w:adjustRightInd/>
        <w:snapToGrid/>
        <w:spacing w:line="560" w:lineRule="exact"/>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（3）成交单位</w:t>
      </w:r>
      <w:r>
        <w:rPr>
          <w:rFonts w:hint="default" w:ascii="仿宋" w:hAnsi="仿宋" w:eastAsia="仿宋" w:cs="仿宋"/>
          <w:color w:val="auto"/>
          <w:sz w:val="28"/>
          <w:szCs w:val="28"/>
          <w:lang w:val="en-US" w:eastAsia="zh-CN"/>
        </w:rPr>
        <w:t>应确保申报材料一次性通过政府形式审查，如因材料形式问题被退回，</w:t>
      </w:r>
      <w:r>
        <w:rPr>
          <w:rFonts w:hint="eastAsia" w:ascii="仿宋" w:hAnsi="仿宋" w:eastAsia="仿宋" w:cs="仿宋"/>
          <w:color w:val="auto"/>
          <w:sz w:val="28"/>
          <w:szCs w:val="28"/>
          <w:lang w:val="en-US" w:eastAsia="zh-CN"/>
        </w:rPr>
        <w:t>成交单位</w:t>
      </w:r>
      <w:r>
        <w:rPr>
          <w:rFonts w:hint="default" w:ascii="仿宋" w:hAnsi="仿宋" w:eastAsia="仿宋" w:cs="仿宋"/>
          <w:color w:val="auto"/>
          <w:sz w:val="28"/>
          <w:szCs w:val="28"/>
          <w:lang w:val="en-US" w:eastAsia="zh-CN"/>
        </w:rPr>
        <w:t>应在3个工作日内完成补正。</w:t>
      </w:r>
    </w:p>
    <w:p w14:paraId="287F1312">
      <w:pPr>
        <w:pStyle w:val="25"/>
        <w:widowControl w:val="0"/>
        <w:numPr>
          <w:ilvl w:val="0"/>
          <w:numId w:val="0"/>
        </w:numPr>
        <w:tabs>
          <w:tab w:val="clear" w:pos="2565"/>
        </w:tabs>
        <w:kinsoku/>
        <w:overflowPunct/>
        <w:autoSpaceDE/>
        <w:autoSpaceDN/>
        <w:adjustRightInd/>
        <w:snapToGrid/>
        <w:spacing w:line="560" w:lineRule="exact"/>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（4）成交单位</w:t>
      </w:r>
      <w:r>
        <w:rPr>
          <w:rFonts w:hint="default" w:ascii="仿宋" w:hAnsi="仿宋" w:eastAsia="仿宋" w:cs="仿宋"/>
          <w:color w:val="auto"/>
          <w:sz w:val="28"/>
          <w:szCs w:val="28"/>
          <w:lang w:val="en-US" w:eastAsia="zh-CN"/>
        </w:rPr>
        <w:t>编制的申报材料应符合要求，确保评分项不丢分。因</w:t>
      </w:r>
      <w:r>
        <w:rPr>
          <w:rFonts w:hint="eastAsia" w:ascii="仿宋" w:hAnsi="仿宋" w:eastAsia="仿宋" w:cs="仿宋"/>
          <w:color w:val="auto"/>
          <w:sz w:val="28"/>
          <w:szCs w:val="28"/>
          <w:lang w:val="en-US" w:eastAsia="zh-CN"/>
        </w:rPr>
        <w:t>成交单位</w:t>
      </w:r>
      <w:r>
        <w:rPr>
          <w:rFonts w:hint="default" w:ascii="仿宋" w:hAnsi="仿宋" w:eastAsia="仿宋" w:cs="仿宋"/>
          <w:color w:val="auto"/>
          <w:sz w:val="28"/>
          <w:szCs w:val="28"/>
          <w:lang w:val="en-US" w:eastAsia="zh-CN"/>
        </w:rPr>
        <w:t>材料质量问题导致评分失分的，甲方有权要求</w:t>
      </w:r>
      <w:r>
        <w:rPr>
          <w:rFonts w:hint="eastAsia" w:ascii="仿宋" w:hAnsi="仿宋" w:eastAsia="仿宋" w:cs="仿宋"/>
          <w:color w:val="auto"/>
          <w:sz w:val="28"/>
          <w:szCs w:val="28"/>
          <w:lang w:val="en-US" w:eastAsia="zh-CN"/>
        </w:rPr>
        <w:t>成交单位</w:t>
      </w:r>
      <w:r>
        <w:rPr>
          <w:rFonts w:hint="default" w:ascii="仿宋" w:hAnsi="仿宋" w:eastAsia="仿宋" w:cs="仿宋"/>
          <w:color w:val="auto"/>
          <w:sz w:val="28"/>
          <w:szCs w:val="28"/>
          <w:lang w:val="en-US" w:eastAsia="zh-CN"/>
        </w:rPr>
        <w:t>承担相应比例的责任。</w:t>
      </w:r>
    </w:p>
    <w:p w14:paraId="7E1EB001">
      <w:pPr>
        <w:pStyle w:val="25"/>
        <w:widowControl w:val="0"/>
        <w:numPr>
          <w:ilvl w:val="0"/>
          <w:numId w:val="0"/>
        </w:numPr>
        <w:tabs>
          <w:tab w:val="clear" w:pos="2565"/>
        </w:tabs>
        <w:kinsoku/>
        <w:overflowPunct/>
        <w:autoSpaceDE/>
        <w:autoSpaceDN/>
        <w:adjustRightInd/>
        <w:snapToGrid/>
        <w:spacing w:line="560" w:lineRule="exact"/>
        <w:ind w:left="0" w:leftChars="0" w:firstLine="560" w:firstLineChars="200"/>
        <w:jc w:val="both"/>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（5）如甲方</w:t>
      </w:r>
      <w:r>
        <w:rPr>
          <w:rFonts w:hint="default" w:ascii="仿宋" w:hAnsi="仿宋" w:eastAsia="仿宋" w:cs="仿宋"/>
          <w:color w:val="auto"/>
          <w:sz w:val="28"/>
          <w:szCs w:val="28"/>
          <w:lang w:val="en-US" w:eastAsia="zh-CN"/>
        </w:rPr>
        <w:t>未获得政府资助资金，无需向</w:t>
      </w:r>
      <w:r>
        <w:rPr>
          <w:rFonts w:hint="eastAsia" w:ascii="仿宋" w:hAnsi="仿宋" w:eastAsia="仿宋" w:cs="仿宋"/>
          <w:color w:val="auto"/>
          <w:sz w:val="28"/>
          <w:szCs w:val="28"/>
          <w:lang w:val="en-US" w:eastAsia="zh-CN"/>
        </w:rPr>
        <w:t>成交单位</w:t>
      </w:r>
      <w:r>
        <w:rPr>
          <w:rFonts w:hint="default" w:ascii="仿宋" w:hAnsi="仿宋" w:eastAsia="仿宋" w:cs="仿宋"/>
          <w:color w:val="auto"/>
          <w:sz w:val="28"/>
          <w:szCs w:val="28"/>
          <w:lang w:val="en-US" w:eastAsia="zh-CN"/>
        </w:rPr>
        <w:t>支付申报咨询服务费。</w:t>
      </w:r>
    </w:p>
    <w:p w14:paraId="16674261">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p>
    <w:p w14:paraId="067364EB">
      <w:pPr>
        <w:pStyle w:val="25"/>
        <w:widowControl w:val="0"/>
        <w:numPr>
          <w:ilvl w:val="-1"/>
          <w:numId w:val="0"/>
        </w:numPr>
        <w:tabs>
          <w:tab w:val="clear" w:pos="2565"/>
        </w:tabs>
        <w:kinsoku/>
        <w:overflowPunct/>
        <w:autoSpaceDE/>
        <w:autoSpaceDN/>
        <w:adjustRightInd/>
        <w:snapToGrid/>
        <w:spacing w:line="560" w:lineRule="exact"/>
        <w:ind w:left="640" w:leftChars="0" w:firstLine="0" w:firstLineChars="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成交单位须保证本次提交的专项审计报告、科技查新报告等相关文件，均由具备合法有效对应执业资质的第三方专业机构正式出具。成交单位对前述全部报告文件的真实性、合法性、有效性、完整性及资料来源合规性承担全部法律责任与主体责任，若存在资质不符、文件造假、内容失实等问题，须自行承担由此引发的一切损失、合规风险及相应违约责任。</w:t>
      </w:r>
    </w:p>
    <w:p w14:paraId="1706BDF0">
      <w:pPr>
        <w:pStyle w:val="25"/>
        <w:widowControl w:val="0"/>
        <w:numPr>
          <w:ilvl w:val="0"/>
          <w:numId w:val="0"/>
        </w:numPr>
        <w:tabs>
          <w:tab w:val="clear" w:pos="2565"/>
        </w:tabs>
        <w:kinsoku/>
        <w:overflowPunct/>
        <w:autoSpaceDE/>
        <w:autoSpaceDN/>
        <w:adjustRightInd/>
        <w:snapToGrid/>
        <w:spacing w:line="560" w:lineRule="exact"/>
        <w:ind w:left="640" w:leftChars="0"/>
        <w:jc w:val="both"/>
        <w:textAlignment w:val="auto"/>
        <w:rPr>
          <w:rFonts w:hint="default" w:ascii="仿宋" w:hAnsi="仿宋" w:eastAsia="仿宋" w:cs="仿宋"/>
          <w:color w:val="auto"/>
          <w:sz w:val="28"/>
          <w:szCs w:val="28"/>
          <w:lang w:val="en-US" w:eastAsia="zh-CN"/>
        </w:rPr>
      </w:pPr>
    </w:p>
    <w:p w14:paraId="06411D0A">
      <w:pPr>
        <w:pStyle w:val="1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28"/>
          <w:szCs w:val="28"/>
          <w:highlight w:val="none"/>
          <w:shd w:val="clear" w:color="auto" w:fill="FFFFFF"/>
          <w:lang w:val="en-US" w:eastAsia="zh-CN"/>
        </w:rPr>
      </w:pPr>
      <w:r>
        <w:rPr>
          <w:rFonts w:hint="eastAsia" w:ascii="仿宋" w:hAnsi="仿宋" w:eastAsia="仿宋"/>
          <w:b/>
          <w:bCs/>
          <w:color w:val="auto"/>
          <w:sz w:val="28"/>
          <w:szCs w:val="28"/>
          <w:highlight w:val="none"/>
          <w:shd w:val="clear" w:color="auto" w:fill="FFFFFF"/>
          <w:lang w:val="en-US" w:eastAsia="zh-CN"/>
        </w:rPr>
        <w:t>四、费用支付</w:t>
      </w:r>
    </w:p>
    <w:p w14:paraId="0578BD96">
      <w:pPr>
        <w:pStyle w:val="1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（一）服务结算</w:t>
      </w:r>
    </w:p>
    <w:p w14:paraId="7EFE5C2D">
      <w:pPr>
        <w:pStyle w:val="19"/>
        <w:keepNext w:val="0"/>
        <w:keepLines w:val="0"/>
        <w:pageBreakBefore w:val="0"/>
        <w:widowControl w:val="0"/>
        <w:kinsoku/>
        <w:wordWrap/>
        <w:overflowPunct w:val="0"/>
        <w:topLinePunct w:val="0"/>
        <w:autoSpaceDE w:val="0"/>
        <w:autoSpaceDN w:val="0"/>
        <w:bidi w:val="0"/>
        <w:adjustRightInd/>
        <w:snapToGrid/>
        <w:spacing w:line="360" w:lineRule="auto"/>
        <w:ind w:left="638" w:leftChars="304"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本项目结算分两部分费用结算：</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（1）申报咨询服务费用：该费用与企业获得的财政补助资金挂</w:t>
      </w:r>
    </w:p>
    <w:p w14:paraId="4046B717">
      <w:pPr>
        <w:pStyle w:val="19"/>
        <w:keepNext w:val="0"/>
        <w:keepLines w:val="0"/>
        <w:pageBreakBefore w:val="0"/>
        <w:widowControl w:val="0"/>
        <w:kinsoku/>
        <w:wordWrap/>
        <w:overflowPunct w:val="0"/>
        <w:topLinePunct w:val="0"/>
        <w:autoSpaceDE w:val="0"/>
        <w:autoSpaceDN w:val="0"/>
        <w:bidi w:val="0"/>
        <w:adjustRightInd/>
        <w:snapToGrid/>
        <w:spacing w:line="360" w:lineRule="auto"/>
        <w:ind w:left="559" w:leftChars="266" w:firstLine="0" w:firstLineChars="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钩，按照甲方收到政府资助该项目资金总额为基数，按照基数*中标费率收取服务费。费用</w:t>
      </w:r>
      <w:r>
        <w:rPr>
          <w:rFonts w:hint="eastAsia" w:ascii="仿宋" w:hAnsi="仿宋" w:eastAsia="仿宋" w:cs="仿宋"/>
          <w:color w:val="auto"/>
          <w:sz w:val="28"/>
          <w:szCs w:val="28"/>
          <w:highlight w:val="none"/>
          <w:lang w:val="en-US" w:eastAsia="zh-CN"/>
        </w:rPr>
        <w:t>在甲方获得财政资金的15个工作日内按比例足额支付服务费。如未获得财政补助资金，无需向成交单位支付申报咨询服务费</w:t>
      </w:r>
    </w:p>
    <w:p w14:paraId="06FAF886">
      <w:pPr>
        <w:pStyle w:val="19"/>
        <w:keepNext w:val="0"/>
        <w:keepLines w:val="0"/>
        <w:pageBreakBefore w:val="0"/>
        <w:widowControl w:val="0"/>
        <w:numPr>
          <w:ilvl w:val="-1"/>
          <w:numId w:val="0"/>
        </w:numPr>
        <w:kinsoku/>
        <w:wordWrap/>
        <w:overflowPunct w:val="0"/>
        <w:topLinePunct w:val="0"/>
        <w:autoSpaceDE w:val="0"/>
        <w:autoSpaceDN w:val="0"/>
        <w:bidi w:val="0"/>
        <w:adjustRightInd/>
        <w:snapToGrid/>
        <w:spacing w:line="360" w:lineRule="auto"/>
        <w:ind w:left="640" w:leftChars="0" w:firstLine="0" w:firstLineChars="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（2）其他第三方协调咨询服务费（固定综合总价）：</w:t>
      </w:r>
      <w:r>
        <w:rPr>
          <w:rFonts w:hint="eastAsia" w:ascii="仿宋" w:hAnsi="仿宋" w:eastAsia="仿宋" w:cs="仿宋"/>
          <w:color w:val="auto"/>
          <w:kern w:val="2"/>
          <w:sz w:val="28"/>
          <w:szCs w:val="28"/>
          <w:highlight w:val="none"/>
          <w:lang w:val="en-US" w:eastAsia="zh-CN" w:bidi="ar-SA"/>
        </w:rPr>
        <w:t>该费用与</w:t>
      </w:r>
    </w:p>
    <w:p w14:paraId="58C817A4">
      <w:pPr>
        <w:pStyle w:val="19"/>
        <w:keepNext w:val="0"/>
        <w:keepLines w:val="0"/>
        <w:pageBreakBefore w:val="0"/>
        <w:widowControl w:val="0"/>
        <w:numPr>
          <w:ilvl w:val="-1"/>
          <w:numId w:val="0"/>
        </w:numPr>
        <w:kinsoku/>
        <w:wordWrap/>
        <w:overflowPunct w:val="0"/>
        <w:topLinePunct w:val="0"/>
        <w:autoSpaceDE w:val="0"/>
        <w:autoSpaceDN w:val="0"/>
        <w:bidi w:val="0"/>
        <w:adjustRightInd/>
        <w:snapToGrid/>
        <w:spacing w:line="360" w:lineRule="auto"/>
        <w:ind w:left="559" w:leftChars="266" w:firstLine="0" w:firstLineChars="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服务方递交第三方专项审计报告及研发项目科技查新报告且经甲方验收合格后的15个工作日内支付“其他第三方协调咨询服务”费用的100%。</w:t>
      </w:r>
    </w:p>
    <w:p w14:paraId="76C468FB">
      <w:pPr>
        <w:pStyle w:val="5"/>
        <w:keepNext w:val="0"/>
        <w:keepLines w:val="0"/>
        <w:pageBreakBefore w:val="0"/>
        <w:widowControl w:val="0"/>
        <w:kinsoku/>
        <w:wordWrap/>
        <w:overflowPunct w:val="0"/>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支付上述费用前，服务方应开具相应金额的服务费发票（增值税专用发票）。</w:t>
      </w:r>
    </w:p>
    <w:p w14:paraId="0F3E2622">
      <w:pPr>
        <w:pStyle w:val="5"/>
        <w:keepNext w:val="0"/>
        <w:keepLines w:val="0"/>
        <w:pageBreakBefore w:val="0"/>
        <w:widowControl w:val="0"/>
        <w:kinsoku/>
        <w:wordWrap/>
        <w:overflowPunct w:val="0"/>
        <w:topLinePunct w:val="0"/>
        <w:autoSpaceDE w:val="0"/>
        <w:autoSpaceDN w:val="0"/>
        <w:bidi w:val="0"/>
        <w:adjustRightInd/>
        <w:snapToGrid/>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支付</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val="en-US" w:eastAsia="zh-CN"/>
        </w:rPr>
        <w:t>银行转账</w:t>
      </w:r>
    </w:p>
    <w:p w14:paraId="705E8AC5">
      <w:pPr>
        <w:pStyle w:val="1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28"/>
          <w:szCs w:val="28"/>
          <w:highlight w:val="none"/>
          <w:shd w:val="clear" w:color="auto" w:fill="FFFFFF"/>
          <w:lang w:val="en-US" w:eastAsia="zh-CN"/>
        </w:rPr>
      </w:pPr>
      <w:r>
        <w:rPr>
          <w:rFonts w:hint="eastAsia" w:ascii="仿宋" w:hAnsi="仿宋" w:eastAsia="仿宋"/>
          <w:b/>
          <w:bCs/>
          <w:color w:val="auto"/>
          <w:sz w:val="28"/>
          <w:szCs w:val="28"/>
          <w:highlight w:val="none"/>
          <w:shd w:val="clear" w:color="auto" w:fill="FFFFFF"/>
          <w:lang w:val="en-US" w:eastAsia="zh-CN"/>
        </w:rPr>
        <w:t>五、服务期限</w:t>
      </w:r>
    </w:p>
    <w:p w14:paraId="23AC49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bCs/>
          <w:sz w:val="28"/>
          <w:szCs w:val="28"/>
          <w:highlight w:val="none"/>
          <w:lang w:val="en-US" w:eastAsia="zh-CN"/>
        </w:rPr>
      </w:pPr>
      <w:r>
        <w:rPr>
          <w:rFonts w:hint="eastAsia" w:ascii="仿宋_GB2312" w:hAnsi="仿宋_GB2312" w:eastAsia="仿宋_GB2312" w:cs="仿宋_GB2312"/>
          <w:sz w:val="28"/>
          <w:szCs w:val="28"/>
          <w:highlight w:val="none"/>
        </w:rPr>
        <w:t>自合同签订之日起</w:t>
      </w:r>
      <w:r>
        <w:rPr>
          <w:rFonts w:hint="eastAsia" w:ascii="仿宋_GB2312" w:hAnsi="仿宋_GB2312" w:eastAsia="仿宋_GB2312" w:cs="仿宋_GB2312"/>
          <w:sz w:val="28"/>
          <w:szCs w:val="28"/>
          <w:highlight w:val="none"/>
          <w:lang w:val="en-US" w:eastAsia="zh-CN"/>
        </w:rPr>
        <w:t>至合同义务履行完毕之日止</w:t>
      </w:r>
      <w:r>
        <w:rPr>
          <w:rFonts w:hint="eastAsia" w:ascii="仿宋_GB2312" w:hAnsi="仿宋_GB2312" w:eastAsia="仿宋_GB2312" w:cs="仿宋_GB2312"/>
          <w:sz w:val="28"/>
          <w:szCs w:val="28"/>
          <w:highlight w:val="none"/>
        </w:rPr>
        <w:t>。</w:t>
      </w:r>
    </w:p>
    <w:p w14:paraId="43F32765">
      <w:pPr>
        <w:pStyle w:val="19"/>
        <w:keepNext w:val="0"/>
        <w:keepLines w:val="0"/>
        <w:pageBreakBefore w:val="0"/>
        <w:widowControl w:val="0"/>
        <w:kinsoku/>
        <w:wordWrap/>
        <w:overflowPunct w:val="0"/>
        <w:topLinePunct w:val="0"/>
        <w:autoSpaceDE w:val="0"/>
        <w:autoSpaceDN w:val="0"/>
        <w:bidi w:val="0"/>
        <w:adjustRightInd/>
        <w:snapToGrid/>
        <w:spacing w:line="360" w:lineRule="auto"/>
        <w:ind w:firstLine="640"/>
        <w:textAlignment w:val="auto"/>
        <w:rPr>
          <w:rFonts w:hint="eastAsia" w:ascii="仿宋" w:hAnsi="仿宋" w:eastAsia="仿宋"/>
          <w:b/>
          <w:bCs/>
          <w:color w:val="auto"/>
          <w:sz w:val="28"/>
          <w:szCs w:val="28"/>
          <w:highlight w:val="none"/>
          <w:shd w:val="clear" w:color="auto" w:fill="FFFFFF"/>
          <w:lang w:val="en-US" w:eastAsia="zh-CN"/>
        </w:rPr>
      </w:pPr>
      <w:r>
        <w:rPr>
          <w:rFonts w:hint="eastAsia" w:ascii="仿宋" w:hAnsi="仿宋" w:eastAsia="仿宋"/>
          <w:b/>
          <w:bCs/>
          <w:color w:val="auto"/>
          <w:sz w:val="28"/>
          <w:szCs w:val="28"/>
          <w:highlight w:val="none"/>
          <w:shd w:val="clear" w:color="auto" w:fill="FFFFFF"/>
          <w:lang w:val="en-US" w:eastAsia="zh-CN"/>
        </w:rPr>
        <w:t>六、服务成果</w:t>
      </w:r>
    </w:p>
    <w:p w14:paraId="3FD72B5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bCs w:val="0"/>
          <w:sz w:val="28"/>
          <w:szCs w:val="28"/>
          <w:highlight w:val="none"/>
          <w:lang w:val="en-US" w:eastAsia="zh-CN"/>
        </w:rPr>
      </w:pPr>
      <w:r>
        <w:rPr>
          <w:rFonts w:hint="eastAsia" w:ascii="仿宋_GB2312" w:hAnsi="仿宋_GB2312" w:eastAsia="仿宋_GB2312" w:cs="仿宋_GB2312"/>
          <w:sz w:val="28"/>
          <w:szCs w:val="28"/>
          <w:highlight w:val="none"/>
          <w:lang w:val="en-US" w:eastAsia="zh-CN"/>
        </w:rPr>
        <w:t>完成</w:t>
      </w:r>
      <w:r>
        <w:rPr>
          <w:rFonts w:hint="eastAsia" w:ascii="仿宋" w:hAnsi="仿宋" w:eastAsia="仿宋" w:cs="仿宋"/>
          <w:color w:val="auto"/>
          <w:sz w:val="28"/>
          <w:szCs w:val="28"/>
          <w:highlight w:val="none"/>
          <w:lang w:val="en-US" w:eastAsia="zh-CN"/>
        </w:rPr>
        <w:t>甲方2025年度企业研发费用补贴申报，并获得</w:t>
      </w:r>
      <w:r>
        <w:rPr>
          <w:rFonts w:hint="eastAsia" w:ascii="仿宋" w:hAnsi="仿宋" w:eastAsia="仿宋" w:cs="仿宋"/>
          <w:color w:val="auto"/>
          <w:sz w:val="28"/>
          <w:szCs w:val="28"/>
          <w:lang w:val="en-US" w:eastAsia="zh-CN"/>
        </w:rPr>
        <w:t>横琴粤澳深度合作区经济发展局的</w:t>
      </w:r>
      <w:r>
        <w:rPr>
          <w:rFonts w:hint="eastAsia" w:ascii="仿宋" w:hAnsi="仿宋" w:eastAsia="仿宋" w:cs="仿宋"/>
          <w:color w:val="auto"/>
          <w:sz w:val="28"/>
          <w:szCs w:val="28"/>
          <w:highlight w:val="none"/>
          <w:lang w:val="en-US" w:eastAsia="zh-CN"/>
        </w:rPr>
        <w:t>财政补贴资金。</w:t>
      </w:r>
    </w:p>
    <w:p w14:paraId="35DD50FA">
      <w:pPr>
        <w:pStyle w:val="16"/>
        <w:keepNext w:val="0"/>
        <w:keepLines w:val="0"/>
        <w:pageBreakBefore w:val="0"/>
        <w:widowControl w:val="0"/>
        <w:kinsoku/>
        <w:wordWrap/>
        <w:overflowPunct w:val="0"/>
        <w:topLinePunct w:val="0"/>
        <w:autoSpaceDE w:val="0"/>
        <w:autoSpaceDN w:val="0"/>
        <w:bidi w:val="0"/>
        <w:adjustRightInd/>
        <w:snapToGrid/>
        <w:ind w:firstLine="520" w:firstLineChars="200"/>
        <w:textAlignment w:val="auto"/>
        <w:rPr>
          <w:rFonts w:hint="default"/>
          <w:color w:val="auto"/>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4692592"/>
      <w:docPartObj>
        <w:docPartGallery w:val="autotext"/>
      </w:docPartObj>
    </w:sdtPr>
    <w:sdtContent>
      <w:p w14:paraId="5570BAB8">
        <w:pPr>
          <w:pStyle w:val="8"/>
          <w:jc w:val="center"/>
        </w:pPr>
        <w:r>
          <w:fldChar w:fldCharType="begin"/>
        </w:r>
        <w:r>
          <w:instrText xml:space="preserve">PAGE   \* MERGEFORMAT</w:instrText>
        </w:r>
        <w:r>
          <w:fldChar w:fldCharType="separate"/>
        </w:r>
        <w:r>
          <w:rPr>
            <w:lang w:val="zh-CN"/>
          </w:rPr>
          <w:t>3</w:t>
        </w:r>
        <w:r>
          <w:fldChar w:fldCharType="end"/>
        </w:r>
      </w:p>
    </w:sdtContent>
  </w:sdt>
  <w:p w14:paraId="18A75F5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C27AD1"/>
    <w:multiLevelType w:val="singleLevel"/>
    <w:tmpl w:val="37C27AD1"/>
    <w:lvl w:ilvl="0" w:tentative="0">
      <w:start w:val="1"/>
      <w:numFmt w:val="decimal"/>
      <w:suff w:val="nothing"/>
      <w:lvlText w:val="%1、"/>
      <w:lvlJc w:val="left"/>
    </w:lvl>
  </w:abstractNum>
  <w:abstractNum w:abstractNumId="1">
    <w:nsid w:val="41021E19"/>
    <w:multiLevelType w:val="multilevel"/>
    <w:tmpl w:val="41021E19"/>
    <w:lvl w:ilvl="0" w:tentative="0">
      <w:start w:val="1"/>
      <w:numFmt w:val="chineseCountingThousand"/>
      <w:pStyle w:val="25"/>
      <w:lvlText w:val="第%1条"/>
      <w:lvlJc w:val="left"/>
      <w:pPr>
        <w:tabs>
          <w:tab w:val="left" w:pos="2565"/>
        </w:tabs>
        <w:ind w:left="2565" w:hanging="1125"/>
      </w:pPr>
      <w:rPr>
        <w:rFonts w:hint="eastAsia" w:ascii="仿宋_GB2312" w:eastAsia="仿宋_GB2312"/>
        <w:b/>
        <w:sz w:val="28"/>
        <w:szCs w:val="28"/>
      </w:rPr>
    </w:lvl>
    <w:lvl w:ilvl="1" w:tentative="0">
      <w:start w:val="1"/>
      <w:numFmt w:val="lowerLetter"/>
      <w:lvlText w:val="%2)"/>
      <w:lvlJc w:val="left"/>
      <w:pPr>
        <w:tabs>
          <w:tab w:val="left" w:pos="902"/>
        </w:tabs>
        <w:ind w:left="902" w:hanging="420"/>
      </w:pPr>
    </w:lvl>
    <w:lvl w:ilvl="2" w:tentative="0">
      <w:start w:val="1"/>
      <w:numFmt w:val="lowerRoman"/>
      <w:lvlText w:val="%3."/>
      <w:lvlJc w:val="right"/>
      <w:pPr>
        <w:tabs>
          <w:tab w:val="left" w:pos="1322"/>
        </w:tabs>
        <w:ind w:left="1322" w:hanging="420"/>
      </w:pPr>
    </w:lvl>
    <w:lvl w:ilvl="3" w:tentative="0">
      <w:start w:val="1"/>
      <w:numFmt w:val="decimal"/>
      <w:lvlText w:val="%4."/>
      <w:lvlJc w:val="left"/>
      <w:pPr>
        <w:tabs>
          <w:tab w:val="left" w:pos="1742"/>
        </w:tabs>
        <w:ind w:left="1742" w:hanging="420"/>
      </w:pPr>
    </w:lvl>
    <w:lvl w:ilvl="4" w:tentative="0">
      <w:start w:val="1"/>
      <w:numFmt w:val="lowerLetter"/>
      <w:lvlText w:val="%5)"/>
      <w:lvlJc w:val="left"/>
      <w:pPr>
        <w:tabs>
          <w:tab w:val="left" w:pos="2162"/>
        </w:tabs>
        <w:ind w:left="2162" w:hanging="420"/>
      </w:pPr>
    </w:lvl>
    <w:lvl w:ilvl="5" w:tentative="0">
      <w:start w:val="1"/>
      <w:numFmt w:val="lowerRoman"/>
      <w:lvlText w:val="%6."/>
      <w:lvlJc w:val="right"/>
      <w:pPr>
        <w:tabs>
          <w:tab w:val="left" w:pos="2582"/>
        </w:tabs>
        <w:ind w:left="2582" w:hanging="420"/>
      </w:pPr>
    </w:lvl>
    <w:lvl w:ilvl="6" w:tentative="0">
      <w:start w:val="1"/>
      <w:numFmt w:val="decimal"/>
      <w:lvlText w:val="%7."/>
      <w:lvlJc w:val="left"/>
      <w:pPr>
        <w:tabs>
          <w:tab w:val="left" w:pos="3002"/>
        </w:tabs>
        <w:ind w:left="3002" w:hanging="420"/>
      </w:pPr>
    </w:lvl>
    <w:lvl w:ilvl="7" w:tentative="0">
      <w:start w:val="1"/>
      <w:numFmt w:val="lowerLetter"/>
      <w:lvlText w:val="%8)"/>
      <w:lvlJc w:val="left"/>
      <w:pPr>
        <w:tabs>
          <w:tab w:val="left" w:pos="3422"/>
        </w:tabs>
        <w:ind w:left="3422" w:hanging="420"/>
      </w:pPr>
    </w:lvl>
    <w:lvl w:ilvl="8" w:tentative="0">
      <w:start w:val="1"/>
      <w:numFmt w:val="lowerRoman"/>
      <w:lvlText w:val="%9."/>
      <w:lvlJc w:val="right"/>
      <w:pPr>
        <w:tabs>
          <w:tab w:val="left" w:pos="3842"/>
        </w:tabs>
        <w:ind w:left="384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NTkzMzZiZTMxNTY4NDMzMjZlNjU5MDdmZGMzNjEifQ=="/>
  </w:docVars>
  <w:rsids>
    <w:rsidRoot w:val="00867826"/>
    <w:rsid w:val="0003178C"/>
    <w:rsid w:val="000732E8"/>
    <w:rsid w:val="00074988"/>
    <w:rsid w:val="000837B1"/>
    <w:rsid w:val="000966D7"/>
    <w:rsid w:val="000A51E6"/>
    <w:rsid w:val="000C20AB"/>
    <w:rsid w:val="000C7909"/>
    <w:rsid w:val="00107451"/>
    <w:rsid w:val="001421F4"/>
    <w:rsid w:val="0014540C"/>
    <w:rsid w:val="001827B5"/>
    <w:rsid w:val="00196DBD"/>
    <w:rsid w:val="0019778F"/>
    <w:rsid w:val="001E14DA"/>
    <w:rsid w:val="00226ACE"/>
    <w:rsid w:val="00276AC6"/>
    <w:rsid w:val="002B06D1"/>
    <w:rsid w:val="002E39AF"/>
    <w:rsid w:val="002E4144"/>
    <w:rsid w:val="003148A1"/>
    <w:rsid w:val="003159CF"/>
    <w:rsid w:val="00331C48"/>
    <w:rsid w:val="00355B69"/>
    <w:rsid w:val="0037548B"/>
    <w:rsid w:val="00392000"/>
    <w:rsid w:val="0039241A"/>
    <w:rsid w:val="003E2E93"/>
    <w:rsid w:val="00400961"/>
    <w:rsid w:val="004028AC"/>
    <w:rsid w:val="00473856"/>
    <w:rsid w:val="004B4841"/>
    <w:rsid w:val="005041C8"/>
    <w:rsid w:val="00522A20"/>
    <w:rsid w:val="00526E22"/>
    <w:rsid w:val="00536363"/>
    <w:rsid w:val="0057108F"/>
    <w:rsid w:val="00575534"/>
    <w:rsid w:val="00597B68"/>
    <w:rsid w:val="005C6A55"/>
    <w:rsid w:val="005D1302"/>
    <w:rsid w:val="005D69BD"/>
    <w:rsid w:val="005E1E0C"/>
    <w:rsid w:val="00613ED6"/>
    <w:rsid w:val="00656B19"/>
    <w:rsid w:val="00672AC7"/>
    <w:rsid w:val="006A05A2"/>
    <w:rsid w:val="006B6DAF"/>
    <w:rsid w:val="006D011B"/>
    <w:rsid w:val="007231D3"/>
    <w:rsid w:val="00726D43"/>
    <w:rsid w:val="00730C4E"/>
    <w:rsid w:val="00784FE3"/>
    <w:rsid w:val="0079255F"/>
    <w:rsid w:val="007A7D59"/>
    <w:rsid w:val="007C5233"/>
    <w:rsid w:val="007C741F"/>
    <w:rsid w:val="007D4626"/>
    <w:rsid w:val="007E2C87"/>
    <w:rsid w:val="00844E41"/>
    <w:rsid w:val="00867826"/>
    <w:rsid w:val="00872975"/>
    <w:rsid w:val="00892720"/>
    <w:rsid w:val="008956EA"/>
    <w:rsid w:val="008E477F"/>
    <w:rsid w:val="00935B5F"/>
    <w:rsid w:val="00960FE0"/>
    <w:rsid w:val="009873AB"/>
    <w:rsid w:val="009900A8"/>
    <w:rsid w:val="00993FC5"/>
    <w:rsid w:val="009D750A"/>
    <w:rsid w:val="009D75AE"/>
    <w:rsid w:val="00A075B7"/>
    <w:rsid w:val="00A25CED"/>
    <w:rsid w:val="00A41190"/>
    <w:rsid w:val="00A47D63"/>
    <w:rsid w:val="00A50C25"/>
    <w:rsid w:val="00A50FBC"/>
    <w:rsid w:val="00A67839"/>
    <w:rsid w:val="00A96BB2"/>
    <w:rsid w:val="00AB2576"/>
    <w:rsid w:val="00AB48A7"/>
    <w:rsid w:val="00AB76DA"/>
    <w:rsid w:val="00AE547B"/>
    <w:rsid w:val="00B13CC4"/>
    <w:rsid w:val="00B375F8"/>
    <w:rsid w:val="00B41D9A"/>
    <w:rsid w:val="00BA7CC9"/>
    <w:rsid w:val="00BC7761"/>
    <w:rsid w:val="00C11256"/>
    <w:rsid w:val="00C12D72"/>
    <w:rsid w:val="00C26C2F"/>
    <w:rsid w:val="00C30118"/>
    <w:rsid w:val="00C34B1D"/>
    <w:rsid w:val="00C43A75"/>
    <w:rsid w:val="00C52341"/>
    <w:rsid w:val="00C546E0"/>
    <w:rsid w:val="00C55581"/>
    <w:rsid w:val="00C77E49"/>
    <w:rsid w:val="00C93B35"/>
    <w:rsid w:val="00CB7EBA"/>
    <w:rsid w:val="00CE5578"/>
    <w:rsid w:val="00D429CD"/>
    <w:rsid w:val="00D44DC8"/>
    <w:rsid w:val="00D83650"/>
    <w:rsid w:val="00DA408E"/>
    <w:rsid w:val="00DD110C"/>
    <w:rsid w:val="00DD5F16"/>
    <w:rsid w:val="00DE510F"/>
    <w:rsid w:val="00E10A7B"/>
    <w:rsid w:val="00E17266"/>
    <w:rsid w:val="00E33495"/>
    <w:rsid w:val="00E4522D"/>
    <w:rsid w:val="00E54880"/>
    <w:rsid w:val="00E55011"/>
    <w:rsid w:val="00E61FFF"/>
    <w:rsid w:val="00E64456"/>
    <w:rsid w:val="00E65BB8"/>
    <w:rsid w:val="00E74CED"/>
    <w:rsid w:val="00E8448A"/>
    <w:rsid w:val="00E93672"/>
    <w:rsid w:val="00E957CA"/>
    <w:rsid w:val="00EA4F80"/>
    <w:rsid w:val="00EA6361"/>
    <w:rsid w:val="00EC724B"/>
    <w:rsid w:val="00F20C1E"/>
    <w:rsid w:val="00F51059"/>
    <w:rsid w:val="00F63939"/>
    <w:rsid w:val="00FB30C1"/>
    <w:rsid w:val="00FD511F"/>
    <w:rsid w:val="00FE1656"/>
    <w:rsid w:val="01A00569"/>
    <w:rsid w:val="01C27F12"/>
    <w:rsid w:val="01F53BE6"/>
    <w:rsid w:val="026A02B6"/>
    <w:rsid w:val="02A429BD"/>
    <w:rsid w:val="032D4885"/>
    <w:rsid w:val="03800D34"/>
    <w:rsid w:val="03D52F56"/>
    <w:rsid w:val="03FE41F8"/>
    <w:rsid w:val="05003293"/>
    <w:rsid w:val="058014BF"/>
    <w:rsid w:val="067526A6"/>
    <w:rsid w:val="07AC27CF"/>
    <w:rsid w:val="083C7E28"/>
    <w:rsid w:val="087F5A5E"/>
    <w:rsid w:val="091742F7"/>
    <w:rsid w:val="09D21BBD"/>
    <w:rsid w:val="09D75426"/>
    <w:rsid w:val="0A295EFF"/>
    <w:rsid w:val="0A557AA3"/>
    <w:rsid w:val="0AA55524"/>
    <w:rsid w:val="0AC60ADC"/>
    <w:rsid w:val="0ADF72CE"/>
    <w:rsid w:val="0B260413"/>
    <w:rsid w:val="0B37143B"/>
    <w:rsid w:val="0BD7795F"/>
    <w:rsid w:val="0C7426EC"/>
    <w:rsid w:val="0D807E14"/>
    <w:rsid w:val="0D822C92"/>
    <w:rsid w:val="0DA10095"/>
    <w:rsid w:val="0DDE4FD5"/>
    <w:rsid w:val="0E931AA8"/>
    <w:rsid w:val="0EE52393"/>
    <w:rsid w:val="0F843259"/>
    <w:rsid w:val="0F934174"/>
    <w:rsid w:val="0FB73D2F"/>
    <w:rsid w:val="100B5E29"/>
    <w:rsid w:val="1021564D"/>
    <w:rsid w:val="106223E3"/>
    <w:rsid w:val="106B4B1A"/>
    <w:rsid w:val="106C2D6C"/>
    <w:rsid w:val="107D735F"/>
    <w:rsid w:val="10B244F7"/>
    <w:rsid w:val="119F0F1F"/>
    <w:rsid w:val="12925BB4"/>
    <w:rsid w:val="12BE7183"/>
    <w:rsid w:val="130C4392"/>
    <w:rsid w:val="139D4167"/>
    <w:rsid w:val="13A9179C"/>
    <w:rsid w:val="14403490"/>
    <w:rsid w:val="15264CBF"/>
    <w:rsid w:val="15485AA9"/>
    <w:rsid w:val="15A44728"/>
    <w:rsid w:val="16ED44DA"/>
    <w:rsid w:val="17375756"/>
    <w:rsid w:val="174560C4"/>
    <w:rsid w:val="1787213F"/>
    <w:rsid w:val="17C527F3"/>
    <w:rsid w:val="180A2E82"/>
    <w:rsid w:val="188D3AB0"/>
    <w:rsid w:val="1946277B"/>
    <w:rsid w:val="1A2F4094"/>
    <w:rsid w:val="1B4D5548"/>
    <w:rsid w:val="1D263513"/>
    <w:rsid w:val="1E1B7B7F"/>
    <w:rsid w:val="1F132A46"/>
    <w:rsid w:val="1FAA6C81"/>
    <w:rsid w:val="1FD11ED6"/>
    <w:rsid w:val="21026DD4"/>
    <w:rsid w:val="21F7445F"/>
    <w:rsid w:val="22FD3CF7"/>
    <w:rsid w:val="23935A88"/>
    <w:rsid w:val="23AD4C33"/>
    <w:rsid w:val="23D762F6"/>
    <w:rsid w:val="23FA0237"/>
    <w:rsid w:val="24C83E91"/>
    <w:rsid w:val="258117E9"/>
    <w:rsid w:val="26B8286D"/>
    <w:rsid w:val="26BD5C77"/>
    <w:rsid w:val="278032F4"/>
    <w:rsid w:val="27A34529"/>
    <w:rsid w:val="28706D19"/>
    <w:rsid w:val="29896CC9"/>
    <w:rsid w:val="29A94291"/>
    <w:rsid w:val="29BA17FC"/>
    <w:rsid w:val="2AA5541C"/>
    <w:rsid w:val="2AF00FAC"/>
    <w:rsid w:val="2C025EDA"/>
    <w:rsid w:val="2C5D75B5"/>
    <w:rsid w:val="2C805BA6"/>
    <w:rsid w:val="2CE40124"/>
    <w:rsid w:val="2D731062"/>
    <w:rsid w:val="2F73532D"/>
    <w:rsid w:val="2F740E9D"/>
    <w:rsid w:val="2F7A63CF"/>
    <w:rsid w:val="2F96202E"/>
    <w:rsid w:val="2FCC22D8"/>
    <w:rsid w:val="30327A5C"/>
    <w:rsid w:val="310B3A83"/>
    <w:rsid w:val="3118362B"/>
    <w:rsid w:val="3253717F"/>
    <w:rsid w:val="329523C3"/>
    <w:rsid w:val="32CB3E17"/>
    <w:rsid w:val="32E263B0"/>
    <w:rsid w:val="33416903"/>
    <w:rsid w:val="334D3839"/>
    <w:rsid w:val="3385405C"/>
    <w:rsid w:val="33EF31E8"/>
    <w:rsid w:val="34036C94"/>
    <w:rsid w:val="34454C78"/>
    <w:rsid w:val="350902DA"/>
    <w:rsid w:val="356C2617"/>
    <w:rsid w:val="35DF0233"/>
    <w:rsid w:val="365E04F3"/>
    <w:rsid w:val="36B66BA4"/>
    <w:rsid w:val="36D13079"/>
    <w:rsid w:val="36EF0981"/>
    <w:rsid w:val="36EF6444"/>
    <w:rsid w:val="37757EA8"/>
    <w:rsid w:val="39111E53"/>
    <w:rsid w:val="393D0C0B"/>
    <w:rsid w:val="39663F4D"/>
    <w:rsid w:val="39777F08"/>
    <w:rsid w:val="39D87645"/>
    <w:rsid w:val="39DE0039"/>
    <w:rsid w:val="3A4B4EF0"/>
    <w:rsid w:val="3A712BA9"/>
    <w:rsid w:val="3AB47B7B"/>
    <w:rsid w:val="3BC54D5F"/>
    <w:rsid w:val="3BE23632"/>
    <w:rsid w:val="3CB74ABF"/>
    <w:rsid w:val="3CE33B06"/>
    <w:rsid w:val="3D0575D8"/>
    <w:rsid w:val="3D562639"/>
    <w:rsid w:val="3DBC05DF"/>
    <w:rsid w:val="3E063608"/>
    <w:rsid w:val="3EE61B23"/>
    <w:rsid w:val="3EF1250A"/>
    <w:rsid w:val="3F2A77CA"/>
    <w:rsid w:val="3FC47F75"/>
    <w:rsid w:val="40061FE5"/>
    <w:rsid w:val="40503261"/>
    <w:rsid w:val="4058499F"/>
    <w:rsid w:val="40B41A41"/>
    <w:rsid w:val="40B76E3C"/>
    <w:rsid w:val="40EF0C82"/>
    <w:rsid w:val="4114428E"/>
    <w:rsid w:val="415D4149"/>
    <w:rsid w:val="41A82E3A"/>
    <w:rsid w:val="42130AD4"/>
    <w:rsid w:val="42CE4911"/>
    <w:rsid w:val="4303315A"/>
    <w:rsid w:val="43390BE3"/>
    <w:rsid w:val="436239D7"/>
    <w:rsid w:val="437A695B"/>
    <w:rsid w:val="43B447FC"/>
    <w:rsid w:val="4465697C"/>
    <w:rsid w:val="451B6881"/>
    <w:rsid w:val="456B28EB"/>
    <w:rsid w:val="458614D2"/>
    <w:rsid w:val="45B20519"/>
    <w:rsid w:val="46007F30"/>
    <w:rsid w:val="46312FE7"/>
    <w:rsid w:val="46354D25"/>
    <w:rsid w:val="474D674C"/>
    <w:rsid w:val="481334F1"/>
    <w:rsid w:val="482E20D9"/>
    <w:rsid w:val="48904B42"/>
    <w:rsid w:val="48BB76E5"/>
    <w:rsid w:val="48C4079F"/>
    <w:rsid w:val="48DA07D7"/>
    <w:rsid w:val="49A4152C"/>
    <w:rsid w:val="4A0F60DB"/>
    <w:rsid w:val="4AB34B18"/>
    <w:rsid w:val="4B4734B2"/>
    <w:rsid w:val="4B5A31E5"/>
    <w:rsid w:val="4BEC0097"/>
    <w:rsid w:val="4BF058F8"/>
    <w:rsid w:val="4C2D3AC3"/>
    <w:rsid w:val="4D4850EC"/>
    <w:rsid w:val="4D5C0D06"/>
    <w:rsid w:val="4D981DA3"/>
    <w:rsid w:val="50446889"/>
    <w:rsid w:val="50697A27"/>
    <w:rsid w:val="51034CF5"/>
    <w:rsid w:val="51E028FC"/>
    <w:rsid w:val="523E5C56"/>
    <w:rsid w:val="52B753C1"/>
    <w:rsid w:val="52D01FDF"/>
    <w:rsid w:val="53E265AD"/>
    <w:rsid w:val="53E915AA"/>
    <w:rsid w:val="543E7A04"/>
    <w:rsid w:val="55562C6F"/>
    <w:rsid w:val="56D45E7D"/>
    <w:rsid w:val="56E60023"/>
    <w:rsid w:val="56EB1140"/>
    <w:rsid w:val="572D5EB9"/>
    <w:rsid w:val="58331046"/>
    <w:rsid w:val="58353010"/>
    <w:rsid w:val="58737694"/>
    <w:rsid w:val="58CE0D6F"/>
    <w:rsid w:val="593B2A98"/>
    <w:rsid w:val="59AF294E"/>
    <w:rsid w:val="59E42F2E"/>
    <w:rsid w:val="5A162204"/>
    <w:rsid w:val="5A6951F3"/>
    <w:rsid w:val="5AAB3D50"/>
    <w:rsid w:val="5B3C2907"/>
    <w:rsid w:val="5B5A2D8E"/>
    <w:rsid w:val="5BC22E0D"/>
    <w:rsid w:val="5BED2502"/>
    <w:rsid w:val="5BF40AEC"/>
    <w:rsid w:val="5C052CF9"/>
    <w:rsid w:val="5C3A6E47"/>
    <w:rsid w:val="5D064F7B"/>
    <w:rsid w:val="5D197DC5"/>
    <w:rsid w:val="5DF028B0"/>
    <w:rsid w:val="5E2002BE"/>
    <w:rsid w:val="5E82439A"/>
    <w:rsid w:val="5F075AE9"/>
    <w:rsid w:val="5F73441E"/>
    <w:rsid w:val="5FA56CCD"/>
    <w:rsid w:val="602D6CC3"/>
    <w:rsid w:val="60326087"/>
    <w:rsid w:val="60C92154"/>
    <w:rsid w:val="60D94755"/>
    <w:rsid w:val="60DB671F"/>
    <w:rsid w:val="62287742"/>
    <w:rsid w:val="622D504B"/>
    <w:rsid w:val="62654503"/>
    <w:rsid w:val="62740BD9"/>
    <w:rsid w:val="627604AD"/>
    <w:rsid w:val="62FC713F"/>
    <w:rsid w:val="63234856"/>
    <w:rsid w:val="633445CA"/>
    <w:rsid w:val="6339083A"/>
    <w:rsid w:val="63F024E1"/>
    <w:rsid w:val="647267C2"/>
    <w:rsid w:val="64A77044"/>
    <w:rsid w:val="64AB2851"/>
    <w:rsid w:val="64CE2822"/>
    <w:rsid w:val="675114E9"/>
    <w:rsid w:val="67564D51"/>
    <w:rsid w:val="68212C69"/>
    <w:rsid w:val="685C6397"/>
    <w:rsid w:val="68B725B5"/>
    <w:rsid w:val="68E90368"/>
    <w:rsid w:val="692F13B6"/>
    <w:rsid w:val="6A1862EE"/>
    <w:rsid w:val="6A2E5B11"/>
    <w:rsid w:val="6AA933EA"/>
    <w:rsid w:val="6ADC556D"/>
    <w:rsid w:val="6AE10DD5"/>
    <w:rsid w:val="6B0E0304"/>
    <w:rsid w:val="6B9F7B6E"/>
    <w:rsid w:val="6C3311BD"/>
    <w:rsid w:val="6C6972D4"/>
    <w:rsid w:val="6D623CE1"/>
    <w:rsid w:val="6D7970A3"/>
    <w:rsid w:val="6DAE1443"/>
    <w:rsid w:val="6E0E1B48"/>
    <w:rsid w:val="6E1A6AD8"/>
    <w:rsid w:val="6E3B7521"/>
    <w:rsid w:val="6EA15B52"/>
    <w:rsid w:val="6ED107F1"/>
    <w:rsid w:val="6F094457"/>
    <w:rsid w:val="6F667AFB"/>
    <w:rsid w:val="6F991C7F"/>
    <w:rsid w:val="6FF60E7F"/>
    <w:rsid w:val="70082235"/>
    <w:rsid w:val="702F7EED"/>
    <w:rsid w:val="70730722"/>
    <w:rsid w:val="70981F36"/>
    <w:rsid w:val="70A124AB"/>
    <w:rsid w:val="71A16BC9"/>
    <w:rsid w:val="71C54FAD"/>
    <w:rsid w:val="71C56D5B"/>
    <w:rsid w:val="72B839E5"/>
    <w:rsid w:val="72BD352D"/>
    <w:rsid w:val="72D54D7C"/>
    <w:rsid w:val="73552701"/>
    <w:rsid w:val="738642CB"/>
    <w:rsid w:val="74147B26"/>
    <w:rsid w:val="742F0F8B"/>
    <w:rsid w:val="74992E68"/>
    <w:rsid w:val="74C94DB4"/>
    <w:rsid w:val="75263C7B"/>
    <w:rsid w:val="7535634E"/>
    <w:rsid w:val="75647617"/>
    <w:rsid w:val="75A153E9"/>
    <w:rsid w:val="765C41A2"/>
    <w:rsid w:val="76685F07"/>
    <w:rsid w:val="7694753D"/>
    <w:rsid w:val="769A6A08"/>
    <w:rsid w:val="77611D6B"/>
    <w:rsid w:val="778356EE"/>
    <w:rsid w:val="77903967"/>
    <w:rsid w:val="783F5995"/>
    <w:rsid w:val="795763C1"/>
    <w:rsid w:val="797C0647"/>
    <w:rsid w:val="79EF0862"/>
    <w:rsid w:val="7A4E3666"/>
    <w:rsid w:val="7A8A28F0"/>
    <w:rsid w:val="7AE91FA6"/>
    <w:rsid w:val="7B252618"/>
    <w:rsid w:val="7B3F7B7E"/>
    <w:rsid w:val="7B4231CA"/>
    <w:rsid w:val="7B7470FC"/>
    <w:rsid w:val="7CE65CE6"/>
    <w:rsid w:val="7D0A41BC"/>
    <w:rsid w:val="7D657644"/>
    <w:rsid w:val="7DAC3A97"/>
    <w:rsid w:val="7E17093E"/>
    <w:rsid w:val="7E9B090A"/>
    <w:rsid w:val="7EB22240"/>
    <w:rsid w:val="7F080287"/>
    <w:rsid w:val="7F405C73"/>
    <w:rsid w:val="7FA418A4"/>
    <w:rsid w:val="7FBB56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spacing w:before="240" w:after="120" w:line="360" w:lineRule="auto"/>
      <w:outlineLvl w:val="1"/>
    </w:pPr>
    <w:rPr>
      <w:rFonts w:ascii="Arial" w:hAnsi="Arial" w:eastAsia="黑体" w:cs="Times New Roman"/>
      <w:bCs/>
      <w:sz w:val="28"/>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w:basedOn w:val="1"/>
    <w:qFormat/>
    <w:uiPriority w:val="0"/>
    <w:pPr>
      <w:spacing w:after="120"/>
    </w:pPr>
  </w:style>
  <w:style w:type="paragraph" w:styleId="5">
    <w:name w:val="Body Text Indent"/>
    <w:basedOn w:val="1"/>
    <w:link w:val="21"/>
    <w:qFormat/>
    <w:uiPriority w:val="0"/>
    <w:pPr>
      <w:spacing w:line="360" w:lineRule="auto"/>
      <w:ind w:firstLine="540" w:firstLineChars="225"/>
    </w:pPr>
    <w:rPr>
      <w:rFonts w:ascii="Times New Roman" w:hAnsi="Times New Roman" w:eastAsia="宋体" w:cs="Times New Roman"/>
      <w:sz w:val="24"/>
      <w:szCs w:val="24"/>
    </w:rPr>
  </w:style>
  <w:style w:type="paragraph" w:styleId="6">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7">
    <w:name w:val="Balloon Text"/>
    <w:basedOn w:val="1"/>
    <w:link w:val="22"/>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annotation subject"/>
    <w:basedOn w:val="3"/>
    <w:next w:val="3"/>
    <w:link w:val="24"/>
    <w:semiHidden/>
    <w:unhideWhenUsed/>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paragraph" w:customStyle="1" w:styleId="16">
    <w:name w:val="表格文字"/>
    <w:basedOn w:val="1"/>
    <w:qFormat/>
    <w:uiPriority w:val="0"/>
    <w:pPr>
      <w:spacing w:before="25" w:after="25"/>
      <w:jc w:val="left"/>
    </w:pPr>
    <w:rPr>
      <w:bCs/>
      <w:spacing w:val="10"/>
      <w:kern w:val="0"/>
      <w:sz w:val="24"/>
    </w:rPr>
  </w:style>
  <w:style w:type="character" w:customStyle="1" w:styleId="17">
    <w:name w:val="页眉 字符"/>
    <w:basedOn w:val="14"/>
    <w:link w:val="9"/>
    <w:qFormat/>
    <w:uiPriority w:val="99"/>
    <w:rPr>
      <w:sz w:val="18"/>
      <w:szCs w:val="18"/>
    </w:rPr>
  </w:style>
  <w:style w:type="character" w:customStyle="1" w:styleId="18">
    <w:name w:val="页脚 字符"/>
    <w:basedOn w:val="14"/>
    <w:link w:val="8"/>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标题 2 字符"/>
    <w:basedOn w:val="14"/>
    <w:link w:val="2"/>
    <w:qFormat/>
    <w:uiPriority w:val="0"/>
    <w:rPr>
      <w:rFonts w:ascii="Arial" w:hAnsi="Arial" w:eastAsia="黑体" w:cs="Times New Roman"/>
      <w:bCs/>
      <w:sz w:val="28"/>
      <w:szCs w:val="32"/>
    </w:rPr>
  </w:style>
  <w:style w:type="character" w:customStyle="1" w:styleId="21">
    <w:name w:val="正文文本缩进 字符"/>
    <w:basedOn w:val="14"/>
    <w:link w:val="5"/>
    <w:qFormat/>
    <w:uiPriority w:val="0"/>
    <w:rPr>
      <w:rFonts w:ascii="Times New Roman" w:hAnsi="Times New Roman" w:eastAsia="宋体" w:cs="Times New Roman"/>
      <w:sz w:val="24"/>
      <w:szCs w:val="24"/>
    </w:rPr>
  </w:style>
  <w:style w:type="character" w:customStyle="1" w:styleId="22">
    <w:name w:val="批注框文本 字符"/>
    <w:basedOn w:val="14"/>
    <w:link w:val="7"/>
    <w:semiHidden/>
    <w:qFormat/>
    <w:uiPriority w:val="99"/>
    <w:rPr>
      <w:rFonts w:asciiTheme="minorHAnsi" w:hAnsiTheme="minorHAnsi" w:eastAsiaTheme="minorEastAsia" w:cstheme="minorBidi"/>
      <w:kern w:val="2"/>
      <w:sz w:val="18"/>
      <w:szCs w:val="18"/>
    </w:rPr>
  </w:style>
  <w:style w:type="character" w:customStyle="1" w:styleId="23">
    <w:name w:val="批注文字 字符"/>
    <w:basedOn w:val="14"/>
    <w:link w:val="3"/>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1"/>
    <w:semiHidden/>
    <w:qFormat/>
    <w:uiPriority w:val="99"/>
    <w:rPr>
      <w:rFonts w:asciiTheme="minorHAnsi" w:hAnsiTheme="minorHAnsi" w:eastAsiaTheme="minorEastAsia" w:cstheme="minorBidi"/>
      <w:b/>
      <w:bCs/>
      <w:kern w:val="2"/>
      <w:sz w:val="21"/>
      <w:szCs w:val="22"/>
    </w:rPr>
  </w:style>
  <w:style w:type="paragraph" w:customStyle="1" w:styleId="25">
    <w:name w:val="YS3-条"/>
    <w:basedOn w:val="1"/>
    <w:qFormat/>
    <w:uiPriority w:val="0"/>
    <w:pPr>
      <w:numPr>
        <w:ilvl w:val="0"/>
        <w:numId w:val="1"/>
      </w:numPr>
    </w:pPr>
  </w:style>
  <w:style w:type="paragraph" w:customStyle="1" w:styleId="26">
    <w:name w:val="正文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列出段落1"/>
    <w:basedOn w:val="1"/>
    <w:qFormat/>
    <w:uiPriority w:val="0"/>
    <w:pPr>
      <w:ind w:firstLine="420" w:firstLineChars="200"/>
    </w:pPr>
  </w:style>
  <w:style w:type="paragraph" w:customStyle="1" w:styleId="28">
    <w:name w:val="明显引用1"/>
    <w:next w:val="1"/>
    <w:qFormat/>
    <w:uiPriority w:val="0"/>
    <w:pPr>
      <w:wordWrap w:val="0"/>
      <w:spacing w:before="360" w:after="360"/>
      <w:ind w:left="950" w:right="950"/>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1403</Words>
  <Characters>1468</Characters>
  <Lines>8</Lines>
  <Paragraphs>2</Paragraphs>
  <TotalTime>12</TotalTime>
  <ScaleCrop>false</ScaleCrop>
  <LinksUpToDate>false</LinksUpToDate>
  <CharactersWithSpaces>1468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2019-11-20T01:43:00Z</dcterms:created>
  <dc:creator>张红(拟稿)</dc:creator>
  <cp:lastModifiedBy>丶逍翛</cp:lastModifiedBy>
  <cp:lastPrinted>2023-02-08T07:37:00Z</cp:lastPrinted>
  <dcterms:modified xsi:type="dcterms:W3CDTF">2026-04-28T11:00:01Z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4BBE6F6D13EF44B7A46200BAD81B2E6C_13</vt:lpwstr>
  </property>
  <property fmtid="{D5CDD505-2E9C-101B-9397-08002B2CF9AE}" pid="4" name="KSOTemplateDocerSaveRecord">
    <vt:lpwstr>eyJoZGlkIjoiMmFiMjc5NTI1MWZkZDYzYTQzM2ZhYzVlYTcyNWQxZGEiLCJ1c2VySWQiOiIxMTIxODE5MjM4In0=</vt:lpwstr>
  </property>
</Properties>
</file>